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65b8169ab95442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D6A11" w:rsidP="003355F1">
            <w:pPr>
              <w:rPr>
                <w:b/>
              </w:rPr>
            </w:pPr>
            <w:r>
              <w:rPr>
                <w:rStyle w:val="Firstpagetablebold"/>
              </w:rPr>
              <w:t>20</w:t>
            </w:r>
            <w:r w:rsidR="00D350E8">
              <w:rPr>
                <w:rStyle w:val="Firstpagetablebold"/>
              </w:rPr>
              <w:t xml:space="preserve"> </w:t>
            </w:r>
            <w:r w:rsidR="003355F1">
              <w:rPr>
                <w:rStyle w:val="Firstpagetablebold"/>
              </w:rPr>
              <w:t>June</w:t>
            </w:r>
            <w:r w:rsidR="00D350E8">
              <w:rPr>
                <w:rStyle w:val="Firstpagetablebold"/>
              </w:rPr>
              <w:t xml:space="preserve">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C6A60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Interim Assistant Chief Executive for Regeneration and Economy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02E50" w:rsidP="008E6E43">
            <w:pPr>
              <w:rPr>
                <w:rStyle w:val="Firstpagetablebold"/>
              </w:rPr>
            </w:pPr>
            <w:r w:rsidRPr="00D02E50">
              <w:rPr>
                <w:rStyle w:val="Firstpagetablebold"/>
              </w:rPr>
              <w:t>Super</w:t>
            </w:r>
            <w:r w:rsidR="00712B7B">
              <w:rPr>
                <w:rStyle w:val="Firstpagetablebold"/>
              </w:rPr>
              <w:t xml:space="preserve"> </w:t>
            </w:r>
            <w:r w:rsidRPr="00D02E50">
              <w:rPr>
                <w:rStyle w:val="Firstpagetablebold"/>
              </w:rPr>
              <w:t xml:space="preserve">Connected Wireless Concession Award </w:t>
            </w:r>
            <w:r w:rsidR="004B07CB">
              <w:rPr>
                <w:rStyle w:val="Firstpagetablebold"/>
              </w:rPr>
              <w:t>Authority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E6E43" w:rsidP="00266BD1">
            <w:r>
              <w:t xml:space="preserve">Request </w:t>
            </w:r>
            <w:r w:rsidR="00266BD1">
              <w:t>to award</w:t>
            </w:r>
            <w:r w:rsidR="0048185C">
              <w:t xml:space="preserve"> </w:t>
            </w:r>
            <w:r>
              <w:t xml:space="preserve">- </w:t>
            </w:r>
            <w:r w:rsidR="00266BD1">
              <w:t>CEB</w:t>
            </w:r>
            <w:r>
              <w:t xml:space="preserve"> to award a contract for a Wireless Concession</w:t>
            </w:r>
            <w:r w:rsidR="00835114">
              <w:t>, this</w:t>
            </w:r>
            <w:r w:rsidR="00712B7B">
              <w:t xml:space="preserve"> </w:t>
            </w:r>
            <w:r w:rsidR="00835114">
              <w:t>being part of the Super</w:t>
            </w:r>
            <w:r w:rsidR="00712B7B">
              <w:t xml:space="preserve"> </w:t>
            </w:r>
            <w:r w:rsidR="00835114">
              <w:t>Con</w:t>
            </w:r>
            <w:r w:rsidR="00712B7B">
              <w:t>n</w:t>
            </w:r>
            <w:r w:rsidR="00835114">
              <w:t>ected City project approved by CEB in October 2013.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D350E8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3B7956">
            <w:r w:rsidRPr="001356F1">
              <w:t xml:space="preserve">Councillor </w:t>
            </w:r>
            <w:r w:rsidR="003B7956">
              <w:t>Bob Price</w:t>
            </w:r>
            <w:r w:rsidR="003C6A60">
              <w:t>, Board Member for Corporate Strategy and Economic Development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835114" w:rsidP="005F7F7E">
            <w:r>
              <w:t>Vibrant Sustainable Economy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F6C6D" w:rsidP="005F7F7E">
            <w:r>
              <w:t>N</w:t>
            </w:r>
            <w:r w:rsidR="00D5547E" w:rsidRPr="001356F1">
              <w:t>on</w:t>
            </w:r>
            <w:r>
              <w:t>e</w:t>
            </w:r>
          </w:p>
        </w:tc>
      </w:tr>
      <w:tr w:rsidR="005F7F7E" w:rsidRPr="00975B07" w:rsidTr="003C6A60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3C6A60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3C6A60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3C6A60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3C6A60" w:rsidRDefault="00046D2B" w:rsidP="004A6D2F">
            <w:r w:rsidRPr="003C6A60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3C6A60" w:rsidRDefault="003C6A60" w:rsidP="00266BD1">
            <w:r w:rsidRPr="003C6A60">
              <w:rPr>
                <w:b/>
              </w:rPr>
              <w:t>Approve</w:t>
            </w:r>
            <w:r w:rsidR="00F1264D" w:rsidRPr="003C6A60">
              <w:t xml:space="preserve"> the Wireless Concession contra</w:t>
            </w:r>
            <w:r w:rsidR="00F218D8" w:rsidRPr="003C6A60">
              <w:t xml:space="preserve">ct referred to in this report to the supplier selected </w:t>
            </w:r>
            <w:r w:rsidR="00F10D1E" w:rsidRPr="003C6A60">
              <w:t>in accordance with the</w:t>
            </w:r>
            <w:r w:rsidR="00F1264D" w:rsidRPr="003C6A60">
              <w:t xml:space="preserve"> procurement process undertaken. 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373"/>
      </w:tblGrid>
      <w:tr w:rsidR="00966D42" w:rsidRPr="00975B07" w:rsidTr="003C6A60">
        <w:trPr>
          <w:trHeight w:val="367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3C6A60">
        <w:trPr>
          <w:trHeight w:val="38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/>
        </w:tc>
        <w:tc>
          <w:tcPr>
            <w:tcW w:w="63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ED5860" w:rsidP="004A6D2F"/>
        </w:tc>
      </w:tr>
      <w:tr w:rsidR="00ED5860" w:rsidRPr="00975B07" w:rsidTr="003C6A60">
        <w:trPr>
          <w:trHeight w:val="2231"/>
        </w:trPr>
        <w:tc>
          <w:tcPr>
            <w:tcW w:w="2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Default="0030208D" w:rsidP="004A6D2F">
            <w:r w:rsidRPr="00975B07">
              <w:t xml:space="preserve">Appendix </w:t>
            </w:r>
            <w:r w:rsidR="00835114">
              <w:t>1</w:t>
            </w:r>
          </w:p>
          <w:p w:rsidR="008119C3" w:rsidRDefault="008119C3" w:rsidP="004A6D2F"/>
          <w:p w:rsidR="00AF5A27" w:rsidRDefault="00AF5A27" w:rsidP="004A6D2F">
            <w:r>
              <w:t xml:space="preserve">Appendix 2 </w:t>
            </w:r>
          </w:p>
          <w:p w:rsidR="00A77AB3" w:rsidRDefault="00AF5A27" w:rsidP="004A6D2F">
            <w:r>
              <w:t>Appendix 3</w:t>
            </w:r>
          </w:p>
          <w:p w:rsidR="0013792B" w:rsidRDefault="00AF5A27" w:rsidP="004A6D2F">
            <w:r>
              <w:t>Appendix 4</w:t>
            </w:r>
          </w:p>
          <w:p w:rsidR="006078E2" w:rsidRPr="00975B07" w:rsidRDefault="006078E2" w:rsidP="006046EF"/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3BD2" w:rsidRDefault="004E3BD2" w:rsidP="004A6D2F">
            <w:r w:rsidRPr="004E3BD2">
              <w:t>Oxford Wireless Concession Benchmark Report</w:t>
            </w:r>
            <w:r w:rsidR="00F83424">
              <w:t xml:space="preserve"> – Exempt from publication</w:t>
            </w:r>
          </w:p>
          <w:p w:rsidR="00AF5A27" w:rsidRDefault="00AF5A27" w:rsidP="00AF5A27">
            <w:pPr>
              <w:spacing w:before="240"/>
            </w:pPr>
            <w:r>
              <w:t xml:space="preserve">Concession </w:t>
            </w:r>
            <w:proofErr w:type="spellStart"/>
            <w:r>
              <w:t>WiFi</w:t>
            </w:r>
            <w:proofErr w:type="spellEnd"/>
            <w:r>
              <w:t xml:space="preserve"> Coverage</w:t>
            </w:r>
            <w:bookmarkStart w:id="0" w:name="_GoBack"/>
            <w:bookmarkEnd w:id="0"/>
          </w:p>
          <w:p w:rsidR="00ED5860" w:rsidRDefault="00613188" w:rsidP="004A6D2F">
            <w:r>
              <w:t>Equalities Impact 2013</w:t>
            </w:r>
          </w:p>
          <w:p w:rsidR="00A77AB3" w:rsidRDefault="00A77AB3" w:rsidP="004A6D2F">
            <w:r w:rsidRPr="00A77AB3">
              <w:t>Wireless Concession Raid Log V78</w:t>
            </w:r>
          </w:p>
          <w:p w:rsidR="0013792B" w:rsidRPr="001356F1" w:rsidRDefault="0013792B" w:rsidP="004A6D2F"/>
        </w:tc>
      </w:tr>
    </w:tbl>
    <w:p w:rsidR="0048185C" w:rsidRDefault="0048185C" w:rsidP="004A6D2F">
      <w:pPr>
        <w:pStyle w:val="Heading1"/>
      </w:pPr>
    </w:p>
    <w:p w:rsidR="003C6A60" w:rsidRPr="003C6A60" w:rsidRDefault="003C6A60" w:rsidP="003C6A60"/>
    <w:p w:rsidR="0040736F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835114" w:rsidRPr="003C6A60" w:rsidRDefault="00835114" w:rsidP="003C6A60">
      <w:pPr>
        <w:pStyle w:val="Heading1"/>
        <w:rPr>
          <w:b w:val="0"/>
          <w:u w:val="single"/>
        </w:rPr>
      </w:pPr>
      <w:r w:rsidRPr="003C6A60">
        <w:rPr>
          <w:b w:val="0"/>
          <w:u w:val="single"/>
        </w:rPr>
        <w:t>Super</w:t>
      </w:r>
      <w:r w:rsidR="00712B7B" w:rsidRPr="003C6A60">
        <w:rPr>
          <w:b w:val="0"/>
          <w:u w:val="single"/>
        </w:rPr>
        <w:t xml:space="preserve"> C</w:t>
      </w:r>
      <w:r w:rsidRPr="003C6A60">
        <w:rPr>
          <w:b w:val="0"/>
          <w:u w:val="single"/>
        </w:rPr>
        <w:t>onnected City Project</w:t>
      </w:r>
    </w:p>
    <w:p w:rsidR="00835114" w:rsidRDefault="00835114" w:rsidP="008F30DA">
      <w:pPr>
        <w:autoSpaceDE w:val="0"/>
        <w:autoSpaceDN w:val="0"/>
        <w:adjustRightInd w:val="0"/>
        <w:spacing w:after="0"/>
        <w:rPr>
          <w:rFonts w:ascii="TT17B9Eo00" w:hAnsi="TT17B9Eo00" w:cs="TT17B9Eo00"/>
          <w:b/>
          <w:color w:val="auto"/>
        </w:rPr>
      </w:pPr>
    </w:p>
    <w:p w:rsidR="00712B7B" w:rsidRPr="00712B7B" w:rsidRDefault="003C6A60" w:rsidP="003C6A60">
      <w:pPr>
        <w:pStyle w:val="bParagraphtext"/>
      </w:pPr>
      <w:r>
        <w:t>I</w:t>
      </w:r>
      <w:r w:rsidR="00712B7B" w:rsidRPr="00712B7B">
        <w:t xml:space="preserve">n 2013, Oxford City Council was awarded £4.83 million from the Urban Broadband Fund (Phase 2) </w:t>
      </w:r>
      <w:r w:rsidR="0007630C">
        <w:t>for the</w:t>
      </w:r>
      <w:r w:rsidR="00712B7B" w:rsidRPr="00712B7B">
        <w:t xml:space="preserve"> Super Connected Cities Programme to deliver ultrafast (100mb/s +) broadband and wireless infrastructure, for businesses and residents. The</w:t>
      </w:r>
      <w:r w:rsidR="0048185C">
        <w:t xml:space="preserve"> key</w:t>
      </w:r>
      <w:r w:rsidR="00712B7B" w:rsidRPr="00712B7B">
        <w:t xml:space="preserve"> elements of the project included:</w:t>
      </w:r>
    </w:p>
    <w:p w:rsidR="00712B7B" w:rsidRPr="00712B7B" w:rsidRDefault="00712B7B" w:rsidP="00D375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  <w:r w:rsidRPr="00712B7B">
        <w:rPr>
          <w:rFonts w:ascii="TT17B9Eo00" w:hAnsi="TT17B9Eo00" w:cs="TT17B9Eo00"/>
          <w:color w:val="auto"/>
        </w:rPr>
        <w:t>Broadband connection vouchers for business</w:t>
      </w:r>
      <w:r w:rsidR="0048185C">
        <w:rPr>
          <w:rFonts w:ascii="TT17B9Eo00" w:hAnsi="TT17B9Eo00" w:cs="TT17B9Eo00"/>
          <w:color w:val="auto"/>
        </w:rPr>
        <w:t>es</w:t>
      </w:r>
    </w:p>
    <w:p w:rsidR="00712B7B" w:rsidRPr="00712B7B" w:rsidRDefault="00712B7B" w:rsidP="00D375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  <w:r w:rsidRPr="00712B7B">
        <w:rPr>
          <w:rFonts w:ascii="TT17B9Eo00" w:hAnsi="TT17B9Eo00" w:cs="TT17B9Eo00"/>
          <w:color w:val="auto"/>
        </w:rPr>
        <w:t>Wire</w:t>
      </w:r>
      <w:r w:rsidR="0048185C">
        <w:rPr>
          <w:rFonts w:ascii="TT17B9Eo00" w:hAnsi="TT17B9Eo00" w:cs="TT17B9Eo00"/>
          <w:color w:val="auto"/>
        </w:rPr>
        <w:t>less public transport provision</w:t>
      </w:r>
      <w:r w:rsidRPr="00712B7B">
        <w:rPr>
          <w:rFonts w:ascii="TT17B9Eo00" w:hAnsi="TT17B9Eo00" w:cs="TT17B9Eo00"/>
          <w:color w:val="auto"/>
        </w:rPr>
        <w:t xml:space="preserve"> </w:t>
      </w:r>
    </w:p>
    <w:p w:rsidR="00712B7B" w:rsidRPr="00712B7B" w:rsidRDefault="00712B7B" w:rsidP="00D375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  <w:r w:rsidRPr="00712B7B">
        <w:rPr>
          <w:rFonts w:ascii="TT17B9Eo00" w:hAnsi="TT17B9Eo00" w:cs="TT17B9Eo00"/>
          <w:color w:val="auto"/>
        </w:rPr>
        <w:t>Wi-Fi Hotspots in public buildings</w:t>
      </w:r>
    </w:p>
    <w:p w:rsidR="00712B7B" w:rsidRPr="00712B7B" w:rsidRDefault="00712B7B" w:rsidP="00D375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  <w:r>
        <w:rPr>
          <w:rFonts w:ascii="TT17B9Eo00" w:hAnsi="TT17B9Eo00" w:cs="TT17B9Eo00"/>
          <w:color w:val="auto"/>
        </w:rPr>
        <w:t>County C</w:t>
      </w:r>
      <w:r w:rsidRPr="00712B7B">
        <w:rPr>
          <w:rFonts w:ascii="TT17B9Eo00" w:hAnsi="TT17B9Eo00" w:cs="TT17B9Eo00"/>
          <w:color w:val="auto"/>
        </w:rPr>
        <w:t>ouncil Better Broadband programme – in progress</w:t>
      </w:r>
    </w:p>
    <w:p w:rsidR="00712B7B" w:rsidRDefault="00712B7B" w:rsidP="00D375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  <w:r>
        <w:rPr>
          <w:rFonts w:ascii="TT17B9Eo00" w:hAnsi="TT17B9Eo00" w:cs="TT17B9Eo00"/>
          <w:color w:val="auto"/>
        </w:rPr>
        <w:t xml:space="preserve">Wireless Concession </w:t>
      </w:r>
      <w:r w:rsidRPr="00712B7B">
        <w:rPr>
          <w:rFonts w:ascii="TT17B9Eo00" w:hAnsi="TT17B9Eo00" w:cs="TT17B9Eo00"/>
          <w:color w:val="auto"/>
        </w:rPr>
        <w:t xml:space="preserve">– in progress </w:t>
      </w:r>
    </w:p>
    <w:p w:rsidR="0007630C" w:rsidRDefault="0007630C" w:rsidP="0007630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1440"/>
        <w:rPr>
          <w:rFonts w:ascii="TT17B9Eo00" w:hAnsi="TT17B9Eo00" w:cs="TT17B9Eo00"/>
          <w:color w:val="auto"/>
        </w:rPr>
      </w:pPr>
    </w:p>
    <w:p w:rsidR="0007630C" w:rsidRPr="0007630C" w:rsidRDefault="0007630C" w:rsidP="003C6A60">
      <w:pPr>
        <w:pStyle w:val="bParagraphtext"/>
      </w:pPr>
      <w:r>
        <w:t>This paper deals with the wireless concession project which is the final project to be delivered within the program</w:t>
      </w:r>
      <w:r w:rsidR="002612DC">
        <w:t>me</w:t>
      </w:r>
      <w:r>
        <w:t>.</w:t>
      </w:r>
    </w:p>
    <w:p w:rsidR="00712B7B" w:rsidRDefault="00712B7B" w:rsidP="008F30DA">
      <w:pPr>
        <w:autoSpaceDE w:val="0"/>
        <w:autoSpaceDN w:val="0"/>
        <w:adjustRightInd w:val="0"/>
        <w:spacing w:after="0"/>
        <w:rPr>
          <w:rFonts w:ascii="TT17B9Eo00" w:hAnsi="TT17B9Eo00" w:cs="TT17B9Eo00"/>
          <w:b/>
          <w:color w:val="auto"/>
        </w:rPr>
      </w:pPr>
    </w:p>
    <w:p w:rsidR="008F30DA" w:rsidRDefault="008F30DA" w:rsidP="008F30DA">
      <w:pPr>
        <w:autoSpaceDE w:val="0"/>
        <w:autoSpaceDN w:val="0"/>
        <w:adjustRightInd w:val="0"/>
        <w:spacing w:after="0"/>
        <w:rPr>
          <w:rFonts w:ascii="TT17B9Eo00" w:hAnsi="TT17B9Eo00" w:cs="TT17B9Eo00"/>
          <w:color w:val="auto"/>
          <w:u w:val="single"/>
        </w:rPr>
      </w:pPr>
      <w:r w:rsidRPr="00712B7B">
        <w:rPr>
          <w:rFonts w:ascii="TT17B9Eo00" w:hAnsi="TT17B9Eo00" w:cs="TT17B9Eo00"/>
          <w:color w:val="auto"/>
          <w:u w:val="single"/>
        </w:rPr>
        <w:t>Wireless Concession Project</w:t>
      </w:r>
    </w:p>
    <w:p w:rsidR="00712B7B" w:rsidRPr="00712B7B" w:rsidRDefault="00712B7B" w:rsidP="008F30DA">
      <w:pPr>
        <w:autoSpaceDE w:val="0"/>
        <w:autoSpaceDN w:val="0"/>
        <w:adjustRightInd w:val="0"/>
        <w:spacing w:after="0"/>
        <w:rPr>
          <w:rFonts w:ascii="TT17B9Eo00" w:hAnsi="TT17B9Eo00" w:cs="TT17B9Eo00"/>
          <w:color w:val="auto"/>
          <w:u w:val="single"/>
        </w:rPr>
      </w:pPr>
    </w:p>
    <w:p w:rsidR="00D375CA" w:rsidRDefault="0007630C" w:rsidP="003C6A60">
      <w:pPr>
        <w:pStyle w:val="bParagraphtext"/>
      </w:pPr>
      <w:r>
        <w:t>The project comprises a</w:t>
      </w:r>
      <w:r w:rsidR="008F30DA" w:rsidRPr="00712B7B">
        <w:t xml:space="preserve"> wireless concession model that covers as much of the city area as possible </w:t>
      </w:r>
      <w:r>
        <w:t xml:space="preserve">with Free-to-use </w:t>
      </w:r>
      <w:proofErr w:type="gramStart"/>
      <w:r>
        <w:t>Wi-</w:t>
      </w:r>
      <w:proofErr w:type="gramEnd"/>
      <w:r>
        <w:t xml:space="preserve">Fi </w:t>
      </w:r>
      <w:r w:rsidR="008F30DA" w:rsidRPr="00712B7B">
        <w:t>– with priority co</w:t>
      </w:r>
      <w:r>
        <w:t xml:space="preserve">verage of the city centre area, </w:t>
      </w:r>
      <w:proofErr w:type="spellStart"/>
      <w:r w:rsidR="008F30DA" w:rsidRPr="00712B7B">
        <w:t>Cowley</w:t>
      </w:r>
      <w:proofErr w:type="spellEnd"/>
      <w:r w:rsidR="008F30DA" w:rsidRPr="00712B7B">
        <w:t xml:space="preserve"> Road, Headington (Hospital and Brookes sites) and Banbury Road / Summertown area.</w:t>
      </w:r>
      <w:r w:rsidR="008A3082">
        <w:t xml:space="preserve"> Maps were included in the Invitation to Tender that covered the whole of the City Council boundary, </w:t>
      </w:r>
    </w:p>
    <w:p w:rsidR="00D375CA" w:rsidRDefault="00D375CA" w:rsidP="00D375CA">
      <w:pPr>
        <w:autoSpaceDE w:val="0"/>
        <w:autoSpaceDN w:val="0"/>
        <w:adjustRightInd w:val="0"/>
        <w:spacing w:after="0"/>
        <w:ind w:left="720"/>
        <w:rPr>
          <w:rFonts w:ascii="TT17B9Fo00" w:hAnsi="TT17B9Fo00" w:cs="TT17B9Fo00"/>
          <w:color w:val="auto"/>
        </w:rPr>
      </w:pPr>
    </w:p>
    <w:p w:rsidR="00B716B5" w:rsidRDefault="00D375CA" w:rsidP="003C6A60">
      <w:pPr>
        <w:pStyle w:val="bParagraphtext"/>
      </w:pPr>
      <w:r>
        <w:t>T</w:t>
      </w:r>
      <w:r w:rsidR="008F30DA" w:rsidRPr="00D375CA">
        <w:t xml:space="preserve">he concession model being </w:t>
      </w:r>
      <w:r w:rsidR="0048185C">
        <w:t>pursued</w:t>
      </w:r>
      <w:r w:rsidR="008F30DA" w:rsidRPr="00D375CA">
        <w:t xml:space="preserve"> is based on the Westminster C</w:t>
      </w:r>
      <w:r w:rsidR="0048185C">
        <w:t>ity Council and O2 partnership. I</w:t>
      </w:r>
      <w:r w:rsidR="00795FDE" w:rsidRPr="00D375CA">
        <w:t xml:space="preserve">n Westminster </w:t>
      </w:r>
      <w:r w:rsidR="008F30DA" w:rsidRPr="00D375CA">
        <w:t>O2 have access to street lights and other public sector assets and have used them to install the equipment required to deliver a wireless network which has been made available free of charge to members of the public</w:t>
      </w:r>
      <w:r>
        <w:t>.</w:t>
      </w:r>
    </w:p>
    <w:p w:rsidR="00B716B5" w:rsidRDefault="00B716B5" w:rsidP="00B716B5">
      <w:pPr>
        <w:autoSpaceDE w:val="0"/>
        <w:autoSpaceDN w:val="0"/>
        <w:adjustRightInd w:val="0"/>
        <w:spacing w:after="0"/>
        <w:ind w:left="720"/>
        <w:rPr>
          <w:rFonts w:ascii="TT17B9Fo00" w:hAnsi="TT17B9Fo00" w:cs="TT17B9Fo00"/>
          <w:color w:val="auto"/>
        </w:rPr>
      </w:pPr>
    </w:p>
    <w:p w:rsidR="008F30DA" w:rsidRPr="00D375CA" w:rsidRDefault="0007630C" w:rsidP="003C6A60">
      <w:pPr>
        <w:pStyle w:val="bParagraphtext"/>
      </w:pPr>
      <w:r>
        <w:t>The p</w:t>
      </w:r>
      <w:r w:rsidR="00492C92" w:rsidRPr="00D375CA">
        <w:t xml:space="preserve">roject </w:t>
      </w:r>
      <w:r w:rsidR="00E10C14">
        <w:t xml:space="preserve">team </w:t>
      </w:r>
      <w:r w:rsidR="00492C92" w:rsidRPr="00D375CA">
        <w:t xml:space="preserve">has </w:t>
      </w:r>
      <w:r w:rsidR="0048185C">
        <w:t>engaged with a wide range of s</w:t>
      </w:r>
      <w:r w:rsidR="00492C92" w:rsidRPr="00D375CA">
        <w:t xml:space="preserve">takeholders and conducted </w:t>
      </w:r>
      <w:r w:rsidR="008F30DA" w:rsidRPr="00D375CA">
        <w:t>an audit of public sector assets that can be used</w:t>
      </w:r>
      <w:r w:rsidR="003450A7">
        <w:t xml:space="preserve"> for the </w:t>
      </w:r>
      <w:r w:rsidR="006413C5">
        <w:t>Wi-Fi</w:t>
      </w:r>
      <w:r>
        <w:t xml:space="preserve"> equipment</w:t>
      </w:r>
      <w:r w:rsidR="008F30DA" w:rsidRPr="00D375CA">
        <w:t xml:space="preserve"> (City Council, County Council, Universities and NHS). </w:t>
      </w:r>
    </w:p>
    <w:p w:rsidR="00DD6F75" w:rsidRDefault="00DD6F75" w:rsidP="00DD6F75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360"/>
        <w:rPr>
          <w:rFonts w:ascii="TT17B9Fo00" w:hAnsi="TT17B9Fo00" w:cs="TT17B9Fo00"/>
          <w:color w:val="auto"/>
        </w:rPr>
      </w:pPr>
    </w:p>
    <w:p w:rsidR="00A61BFC" w:rsidRDefault="00A61BFC" w:rsidP="006874EF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Procurement Process</w:t>
      </w:r>
    </w:p>
    <w:p w:rsidR="00E21C47" w:rsidRPr="00DD6F75" w:rsidRDefault="00E21C47" w:rsidP="006874EF">
      <w:pPr>
        <w:autoSpaceDE w:val="0"/>
        <w:autoSpaceDN w:val="0"/>
        <w:adjustRightInd w:val="0"/>
        <w:spacing w:after="0"/>
        <w:rPr>
          <w:b/>
        </w:rPr>
      </w:pPr>
    </w:p>
    <w:p w:rsidR="005E5143" w:rsidRDefault="0007630C" w:rsidP="003C6A60">
      <w:pPr>
        <w:pStyle w:val="bParagraphtext"/>
      </w:pPr>
      <w:r>
        <w:t xml:space="preserve">An </w:t>
      </w:r>
      <w:r w:rsidR="00A61BFC">
        <w:t xml:space="preserve">OJEU </w:t>
      </w:r>
      <w:r>
        <w:t xml:space="preserve">compliant </w:t>
      </w:r>
      <w:r w:rsidR="00A61BFC">
        <w:t>procurement process wa</w:t>
      </w:r>
      <w:r>
        <w:t xml:space="preserve">s </w:t>
      </w:r>
      <w:r w:rsidR="00E9602F">
        <w:t xml:space="preserve">undertaken and a </w:t>
      </w:r>
      <w:r w:rsidR="00F12F92">
        <w:t>preferred</w:t>
      </w:r>
      <w:r w:rsidR="000D5B15">
        <w:t xml:space="preserve"> supplier has been selected.</w:t>
      </w:r>
      <w:r w:rsidR="008119C3">
        <w:t xml:space="preserve"> The supplier is named in appendix 1.</w:t>
      </w:r>
    </w:p>
    <w:p w:rsidR="00A83463" w:rsidRPr="00A83463" w:rsidRDefault="00A83463" w:rsidP="003C6A60">
      <w:pPr>
        <w:pStyle w:val="bParagraphtext"/>
        <w:rPr>
          <w:lang w:eastAsia="en-US"/>
        </w:rPr>
      </w:pPr>
      <w:r w:rsidRPr="00A83463">
        <w:rPr>
          <w:lang w:eastAsia="en-US"/>
        </w:rPr>
        <w:t xml:space="preserve">The evaluation process was carried out to </w:t>
      </w:r>
      <w:r w:rsidR="0099208C">
        <w:rPr>
          <w:lang w:eastAsia="en-US"/>
        </w:rPr>
        <w:t>ensure that the quality of the</w:t>
      </w:r>
      <w:r w:rsidRPr="00A83463">
        <w:rPr>
          <w:lang w:eastAsia="en-US"/>
        </w:rPr>
        <w:t xml:space="preserve"> bid received was satisfactory to both the City Council project team members and the external technical expert.</w:t>
      </w:r>
    </w:p>
    <w:p w:rsidR="00A83463" w:rsidRPr="00A83463" w:rsidRDefault="00A83463" w:rsidP="003C6A60">
      <w:pPr>
        <w:pStyle w:val="bParagraphtext"/>
        <w:rPr>
          <w:lang w:eastAsia="en-US"/>
        </w:rPr>
      </w:pPr>
      <w:r w:rsidRPr="00A83463">
        <w:rPr>
          <w:lang w:eastAsia="en-US"/>
        </w:rPr>
        <w:t>The bidder passed the selection evaluation</w:t>
      </w:r>
      <w:r w:rsidR="00C00B18">
        <w:rPr>
          <w:lang w:eastAsia="en-US"/>
        </w:rPr>
        <w:t>, though a low Delphi score has been received</w:t>
      </w:r>
      <w:r w:rsidR="005A6F8A">
        <w:rPr>
          <w:lang w:eastAsia="en-US"/>
        </w:rPr>
        <w:t>, a Delphi score is an analytical tool to highlight the strength, performance and ultimately the creditworthiness of a company to a single score.</w:t>
      </w:r>
      <w:r w:rsidR="00C00B18">
        <w:rPr>
          <w:lang w:eastAsia="en-US"/>
        </w:rPr>
        <w:t xml:space="preserve"> </w:t>
      </w:r>
      <w:r w:rsidR="005A6F8A">
        <w:rPr>
          <w:lang w:eastAsia="en-US"/>
        </w:rPr>
        <w:t>F</w:t>
      </w:r>
      <w:r w:rsidR="00C00B18">
        <w:rPr>
          <w:lang w:eastAsia="en-US"/>
        </w:rPr>
        <w:t xml:space="preserve">urther research was conducted on the proposed Concessionaire and </w:t>
      </w:r>
      <w:r w:rsidR="00FE3F8E">
        <w:rPr>
          <w:lang w:eastAsia="en-US"/>
        </w:rPr>
        <w:t xml:space="preserve">the accounts </w:t>
      </w:r>
      <w:proofErr w:type="gramStart"/>
      <w:r w:rsidR="00FE3F8E">
        <w:rPr>
          <w:lang w:eastAsia="en-US"/>
        </w:rPr>
        <w:t>demonstrated</w:t>
      </w:r>
      <w:proofErr w:type="gramEnd"/>
      <w:r w:rsidR="00FE3F8E">
        <w:rPr>
          <w:lang w:eastAsia="en-US"/>
        </w:rPr>
        <w:t xml:space="preserve"> the Delphi score is not a true reflection of the company’s current standing. Despite this a Parent Company Guarantee will be requested for greater security</w:t>
      </w:r>
      <w:r w:rsidRPr="00A83463">
        <w:rPr>
          <w:lang w:eastAsia="en-US"/>
        </w:rPr>
        <w:t>.</w:t>
      </w:r>
    </w:p>
    <w:p w:rsidR="00A83463" w:rsidRPr="00A83463" w:rsidRDefault="00A83463" w:rsidP="00B33E59">
      <w:pPr>
        <w:tabs>
          <w:tab w:val="left" w:pos="709"/>
          <w:tab w:val="left" w:pos="1440"/>
        </w:tabs>
        <w:spacing w:after="0"/>
        <w:ind w:left="709"/>
        <w:jc w:val="both"/>
        <w:rPr>
          <w:color w:val="auto"/>
          <w:lang w:eastAsia="en-US"/>
        </w:rPr>
      </w:pPr>
    </w:p>
    <w:p w:rsidR="00A83463" w:rsidRDefault="00A83463" w:rsidP="003C6A60">
      <w:pPr>
        <w:pStyle w:val="bParagraphtext"/>
        <w:rPr>
          <w:lang w:eastAsia="en-US"/>
        </w:rPr>
      </w:pPr>
      <w:r w:rsidRPr="00A83463">
        <w:rPr>
          <w:lang w:eastAsia="en-US"/>
        </w:rPr>
        <w:t xml:space="preserve">The </w:t>
      </w:r>
      <w:r w:rsidR="00B33E59">
        <w:rPr>
          <w:lang w:eastAsia="en-US"/>
        </w:rPr>
        <w:t xml:space="preserve">submission was evaluated on </w:t>
      </w:r>
      <w:r w:rsidR="007B2831">
        <w:rPr>
          <w:lang w:eastAsia="en-US"/>
        </w:rPr>
        <w:t>with the weightings being defined as 60% quality and 40% price.</w:t>
      </w:r>
    </w:p>
    <w:p w:rsidR="00A43FB6" w:rsidRDefault="00A43FB6" w:rsidP="00B33E59">
      <w:pPr>
        <w:tabs>
          <w:tab w:val="left" w:pos="709"/>
          <w:tab w:val="left" w:pos="1440"/>
        </w:tabs>
        <w:spacing w:after="0"/>
        <w:ind w:left="709"/>
        <w:jc w:val="both"/>
        <w:rPr>
          <w:color w:val="auto"/>
          <w:lang w:eastAsia="en-US"/>
        </w:rPr>
      </w:pPr>
    </w:p>
    <w:p w:rsidR="00A43FB6" w:rsidRPr="003C6A60" w:rsidRDefault="00A43FB6" w:rsidP="003C6A60">
      <w:pPr>
        <w:pStyle w:val="bParagraphtext"/>
        <w:rPr>
          <w:lang w:eastAsia="en-US"/>
        </w:rPr>
      </w:pPr>
      <w:r w:rsidRPr="003C6A60">
        <w:rPr>
          <w:lang w:eastAsia="en-US"/>
        </w:rPr>
        <w:t>Tenderers were required to complete a pricing schedule contained within the I</w:t>
      </w:r>
      <w:r w:rsidR="00E10C14" w:rsidRPr="003C6A60">
        <w:rPr>
          <w:lang w:eastAsia="en-US"/>
        </w:rPr>
        <w:t xml:space="preserve">nvitation </w:t>
      </w:r>
      <w:proofErr w:type="gramStart"/>
      <w:r w:rsidRPr="003C6A60">
        <w:rPr>
          <w:lang w:eastAsia="en-US"/>
        </w:rPr>
        <w:t>T</w:t>
      </w:r>
      <w:r w:rsidR="00E10C14" w:rsidRPr="003C6A60">
        <w:rPr>
          <w:lang w:eastAsia="en-US"/>
        </w:rPr>
        <w:t>o</w:t>
      </w:r>
      <w:proofErr w:type="gramEnd"/>
      <w:r w:rsidR="00E10C14" w:rsidRPr="003C6A60">
        <w:rPr>
          <w:lang w:eastAsia="en-US"/>
        </w:rPr>
        <w:t xml:space="preserve"> </w:t>
      </w:r>
      <w:r w:rsidRPr="003C6A60">
        <w:rPr>
          <w:lang w:eastAsia="en-US"/>
        </w:rPr>
        <w:t>T</w:t>
      </w:r>
      <w:r w:rsidR="00E10C14" w:rsidRPr="003C6A60">
        <w:rPr>
          <w:lang w:eastAsia="en-US"/>
        </w:rPr>
        <w:t>ender (ITT) document</w:t>
      </w:r>
      <w:r w:rsidRPr="003C6A60">
        <w:rPr>
          <w:lang w:eastAsia="en-US"/>
        </w:rPr>
        <w:t xml:space="preserve">. The pricing schedule </w:t>
      </w:r>
      <w:r w:rsidR="00E158EE" w:rsidRPr="003C6A60">
        <w:rPr>
          <w:lang w:eastAsia="en-US"/>
        </w:rPr>
        <w:t xml:space="preserve">required the tenderer to demonstrate </w:t>
      </w:r>
      <w:r w:rsidR="00E10C14" w:rsidRPr="003C6A60">
        <w:rPr>
          <w:lang w:eastAsia="en-US"/>
        </w:rPr>
        <w:t>a quantum of</w:t>
      </w:r>
      <w:r w:rsidR="00035F7E" w:rsidRPr="003C6A60">
        <w:rPr>
          <w:lang w:eastAsia="en-US"/>
        </w:rPr>
        <w:t xml:space="preserve"> </w:t>
      </w:r>
      <w:r w:rsidR="00E158EE" w:rsidRPr="003C6A60">
        <w:rPr>
          <w:lang w:eastAsia="en-US"/>
        </w:rPr>
        <w:t xml:space="preserve">guaranteed </w:t>
      </w:r>
      <w:r w:rsidR="00F05B3B" w:rsidRPr="003C6A60">
        <w:rPr>
          <w:lang w:eastAsia="en-US"/>
        </w:rPr>
        <w:t>revenue for the C</w:t>
      </w:r>
      <w:r w:rsidR="00E158EE" w:rsidRPr="003C6A60">
        <w:rPr>
          <w:lang w:eastAsia="en-US"/>
        </w:rPr>
        <w:t xml:space="preserve">ouncil/s and </w:t>
      </w:r>
      <w:r w:rsidR="00E10C14" w:rsidRPr="003C6A60">
        <w:rPr>
          <w:lang w:eastAsia="en-US"/>
        </w:rPr>
        <w:t xml:space="preserve">also a quantum of </w:t>
      </w:r>
      <w:r w:rsidR="00E158EE" w:rsidRPr="003C6A60">
        <w:rPr>
          <w:lang w:eastAsia="en-US"/>
        </w:rPr>
        <w:t>non-guaranteed revenue for bo</w:t>
      </w:r>
      <w:r w:rsidR="00F05B3B" w:rsidRPr="003C6A60">
        <w:rPr>
          <w:lang w:eastAsia="en-US"/>
        </w:rPr>
        <w:t>th the tenderer and C</w:t>
      </w:r>
      <w:r w:rsidR="00E158EE" w:rsidRPr="003C6A60">
        <w:rPr>
          <w:lang w:eastAsia="en-US"/>
        </w:rPr>
        <w:t xml:space="preserve">ouncil/s. </w:t>
      </w:r>
    </w:p>
    <w:p w:rsidR="00A83463" w:rsidRPr="003D2697" w:rsidRDefault="00A83463" w:rsidP="003D2697">
      <w:pPr>
        <w:tabs>
          <w:tab w:val="left" w:pos="709"/>
        </w:tabs>
        <w:spacing w:after="0"/>
        <w:jc w:val="both"/>
        <w:rPr>
          <w:rFonts w:cs="Arial"/>
          <w:bCs/>
          <w:iCs/>
          <w:color w:val="auto"/>
          <w:lang w:eastAsia="en-US"/>
        </w:rPr>
      </w:pPr>
    </w:p>
    <w:p w:rsidR="00E93CC5" w:rsidRPr="00E93CC5" w:rsidRDefault="00E93CC5" w:rsidP="00A83463">
      <w:pPr>
        <w:keepNext/>
        <w:keepLines/>
        <w:tabs>
          <w:tab w:val="left" w:pos="720"/>
        </w:tabs>
        <w:spacing w:after="0"/>
        <w:jc w:val="both"/>
        <w:outlineLvl w:val="6"/>
        <w:rPr>
          <w:rFonts w:cs="Arial"/>
          <w:b/>
          <w:bCs/>
          <w:iCs/>
          <w:color w:val="auto"/>
          <w:lang w:eastAsia="en-US"/>
        </w:rPr>
      </w:pPr>
      <w:r w:rsidRPr="00E93CC5">
        <w:rPr>
          <w:rFonts w:cs="Arial"/>
          <w:b/>
          <w:bCs/>
          <w:iCs/>
          <w:color w:val="auto"/>
          <w:lang w:eastAsia="en-US"/>
        </w:rPr>
        <w:t>Evaluation Result</w:t>
      </w:r>
    </w:p>
    <w:p w:rsidR="00E93CC5" w:rsidRDefault="00E93CC5" w:rsidP="00A83463">
      <w:pPr>
        <w:keepNext/>
        <w:keepLines/>
        <w:tabs>
          <w:tab w:val="left" w:pos="720"/>
        </w:tabs>
        <w:spacing w:after="0"/>
        <w:jc w:val="both"/>
        <w:outlineLvl w:val="6"/>
        <w:rPr>
          <w:rFonts w:cs="Arial"/>
          <w:bCs/>
          <w:iCs/>
          <w:color w:val="auto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1674"/>
        <w:gridCol w:w="2581"/>
      </w:tblGrid>
      <w:tr w:rsidR="00E93CC5" w:rsidRPr="00A83463" w:rsidTr="00831AF3">
        <w:trPr>
          <w:trHeight w:val="51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CC5" w:rsidRPr="003C6A60" w:rsidRDefault="00E93CC5" w:rsidP="00E10C14">
            <w:pPr>
              <w:spacing w:before="60" w:after="60"/>
              <w:jc w:val="both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 xml:space="preserve">Evaluation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CC5" w:rsidRPr="003C6A60" w:rsidRDefault="00E93CC5" w:rsidP="00EA7ADB">
            <w:pPr>
              <w:spacing w:before="60" w:after="60"/>
              <w:jc w:val="center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Max Possible Score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3CC5" w:rsidRPr="003C6A60" w:rsidRDefault="00E93CC5" w:rsidP="00012776">
            <w:pPr>
              <w:spacing w:before="60" w:after="60"/>
              <w:jc w:val="center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Score Achieved</w:t>
            </w:r>
            <w:r w:rsidR="00E10C14" w:rsidRPr="003C6A60">
              <w:rPr>
                <w:rFonts w:cs="Arial"/>
                <w:b/>
                <w:color w:val="auto"/>
                <w:lang w:eastAsia="en-US"/>
              </w:rPr>
              <w:t xml:space="preserve"> by preferred </w:t>
            </w:r>
            <w:r w:rsidR="00012776" w:rsidRPr="003C6A60">
              <w:rPr>
                <w:rFonts w:cs="Arial"/>
                <w:b/>
                <w:color w:val="auto"/>
                <w:lang w:eastAsia="en-US"/>
              </w:rPr>
              <w:t>supplier</w:t>
            </w:r>
          </w:p>
        </w:tc>
      </w:tr>
      <w:tr w:rsidR="00E93CC5" w:rsidRPr="00A83463" w:rsidTr="00831AF3">
        <w:trPr>
          <w:trHeight w:val="31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E93CC5" w:rsidP="00EA7ADB">
            <w:pPr>
              <w:spacing w:before="60" w:after="60"/>
              <w:jc w:val="both"/>
              <w:rPr>
                <w:rFonts w:cs="Arial"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Qualitative 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E93CC5" w:rsidP="00EA7ADB">
            <w:pPr>
              <w:spacing w:before="60" w:after="60"/>
              <w:jc w:val="right"/>
              <w:rPr>
                <w:rFonts w:cs="Arial"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60%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E93CC5" w:rsidP="00EA7ADB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42.6%</w:t>
            </w:r>
          </w:p>
        </w:tc>
      </w:tr>
      <w:tr w:rsidR="00E93CC5" w:rsidRPr="00A83463" w:rsidTr="00831AF3">
        <w:trPr>
          <w:trHeight w:val="31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E93CC5" w:rsidP="00863A69">
            <w:pPr>
              <w:spacing w:before="60" w:after="60"/>
              <w:jc w:val="both"/>
              <w:rPr>
                <w:rFonts w:cs="Arial"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 xml:space="preserve">Pricing </w:t>
            </w:r>
            <w:r w:rsidR="00863A69" w:rsidRPr="003C6A60">
              <w:rPr>
                <w:rFonts w:cs="Arial"/>
                <w:b/>
                <w:color w:val="auto"/>
                <w:lang w:eastAsia="en-US"/>
              </w:rPr>
              <w:t>Score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863A69" w:rsidP="00EA7ADB">
            <w:pPr>
              <w:spacing w:before="60" w:after="60"/>
              <w:jc w:val="right"/>
              <w:rPr>
                <w:rFonts w:cs="Arial"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40</w:t>
            </w:r>
            <w:r w:rsidR="00E93CC5" w:rsidRPr="003C6A60">
              <w:rPr>
                <w:rFonts w:cs="Arial"/>
                <w:b/>
                <w:color w:val="auto"/>
                <w:lang w:eastAsia="en-US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CC5" w:rsidRPr="003C6A60" w:rsidRDefault="00863A69" w:rsidP="00863A69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40</w:t>
            </w:r>
            <w:r w:rsidR="00E93CC5" w:rsidRPr="003C6A60">
              <w:rPr>
                <w:rFonts w:cs="Arial"/>
                <w:b/>
                <w:color w:val="auto"/>
                <w:lang w:eastAsia="en-US"/>
              </w:rPr>
              <w:t>%</w:t>
            </w:r>
          </w:p>
        </w:tc>
      </w:tr>
      <w:tr w:rsidR="00863A69" w:rsidRPr="00A83463" w:rsidTr="00831AF3">
        <w:trPr>
          <w:trHeight w:val="31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63A69" w:rsidRPr="003C6A60" w:rsidRDefault="00863A69" w:rsidP="00863A69">
            <w:pPr>
              <w:spacing w:before="60" w:after="60"/>
              <w:jc w:val="both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63A69" w:rsidRPr="003C6A60" w:rsidRDefault="00863A69" w:rsidP="00EA7ADB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100%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63A69" w:rsidRPr="003C6A60" w:rsidRDefault="00863A69" w:rsidP="00863A69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82.6%</w:t>
            </w:r>
          </w:p>
        </w:tc>
      </w:tr>
      <w:tr w:rsidR="00F05B3B" w:rsidRPr="00A83463" w:rsidTr="00831AF3">
        <w:trPr>
          <w:trHeight w:val="31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FitText/>
          </w:tcPr>
          <w:p w:rsidR="00F05B3B" w:rsidRPr="003C6A60" w:rsidRDefault="00F05B3B" w:rsidP="00A013C4">
            <w:pPr>
              <w:spacing w:before="60" w:after="60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w w:val="81"/>
                <w:lang w:eastAsia="en-US"/>
              </w:rPr>
              <w:t>Pricing Confidence Factor</w:t>
            </w:r>
            <w:r w:rsidR="00A013C4" w:rsidRPr="003C6A60">
              <w:rPr>
                <w:rFonts w:cs="Arial"/>
                <w:b/>
                <w:color w:val="auto"/>
                <w:w w:val="81"/>
                <w:lang w:eastAsia="en-US"/>
              </w:rPr>
              <w:t xml:space="preserve"> (Non-guaranteed Income</w:t>
            </w:r>
            <w:r w:rsidR="00A013C4" w:rsidRPr="003C6A60">
              <w:rPr>
                <w:rFonts w:cs="Arial"/>
                <w:b/>
                <w:color w:val="auto"/>
                <w:spacing w:val="30"/>
                <w:w w:val="81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5B3B" w:rsidRPr="003C6A60" w:rsidRDefault="00F05B3B" w:rsidP="00EA7ADB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100%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5B3B" w:rsidRPr="003C6A60" w:rsidRDefault="00F05B3B" w:rsidP="00863A69">
            <w:pPr>
              <w:spacing w:before="60" w:after="60"/>
              <w:jc w:val="right"/>
              <w:rPr>
                <w:rFonts w:cs="Arial"/>
                <w:b/>
                <w:color w:val="auto"/>
                <w:lang w:eastAsia="en-US"/>
              </w:rPr>
            </w:pPr>
            <w:r w:rsidRPr="003C6A60">
              <w:rPr>
                <w:rFonts w:cs="Arial"/>
                <w:b/>
                <w:color w:val="auto"/>
                <w:lang w:eastAsia="en-US"/>
              </w:rPr>
              <w:t>62%</w:t>
            </w:r>
          </w:p>
        </w:tc>
      </w:tr>
    </w:tbl>
    <w:p w:rsidR="0048185C" w:rsidRDefault="0048185C" w:rsidP="00E9602F">
      <w:pPr>
        <w:autoSpaceDE w:val="0"/>
        <w:autoSpaceDN w:val="0"/>
        <w:adjustRightInd w:val="0"/>
        <w:spacing w:after="0"/>
        <w:rPr>
          <w:rFonts w:ascii="TT17B9Fo00" w:hAnsi="TT17B9Fo00" w:cs="TT17B9Fo00"/>
          <w:b/>
          <w:color w:val="auto"/>
        </w:rPr>
      </w:pPr>
    </w:p>
    <w:p w:rsidR="00DD6F75" w:rsidRDefault="00DD6F75" w:rsidP="003C6A60">
      <w:pPr>
        <w:pStyle w:val="Heading1"/>
      </w:pPr>
      <w:r w:rsidRPr="00DD6F75">
        <w:t xml:space="preserve">Concession Contract </w:t>
      </w:r>
    </w:p>
    <w:p w:rsidR="00D375CA" w:rsidRDefault="00D375CA" w:rsidP="00D375CA">
      <w:pPr>
        <w:autoSpaceDE w:val="0"/>
        <w:autoSpaceDN w:val="0"/>
        <w:adjustRightInd w:val="0"/>
        <w:spacing w:after="0"/>
        <w:rPr>
          <w:rFonts w:ascii="TT17B9Fo00" w:hAnsi="TT17B9Fo00" w:cs="TT17B9Fo00"/>
          <w:b/>
          <w:color w:val="auto"/>
        </w:rPr>
      </w:pPr>
    </w:p>
    <w:p w:rsidR="00DD6F75" w:rsidRDefault="00DD6F75" w:rsidP="003C6A60">
      <w:pPr>
        <w:pStyle w:val="bParagraphtext"/>
      </w:pPr>
      <w:r w:rsidRPr="00DD6F75">
        <w:t xml:space="preserve">The Council will not be liable to pay any </w:t>
      </w:r>
      <w:r>
        <w:t xml:space="preserve">money to the supplier. </w:t>
      </w:r>
      <w:r w:rsidR="00E9602F">
        <w:t xml:space="preserve">The </w:t>
      </w:r>
      <w:r>
        <w:t xml:space="preserve">supplier </w:t>
      </w:r>
      <w:r w:rsidR="0099208C">
        <w:t>will</w:t>
      </w:r>
      <w:r>
        <w:t xml:space="preserve"> be re</w:t>
      </w:r>
      <w:r w:rsidR="0099208C">
        <w:t>quired to pay the City Council to gain access to assets to install wireless technology and provide a free</w:t>
      </w:r>
      <w:r w:rsidR="00E10C14">
        <w:t>-</w:t>
      </w:r>
      <w:r w:rsidR="0099208C">
        <w:t>to</w:t>
      </w:r>
      <w:r w:rsidR="00E10C14">
        <w:t>-</w:t>
      </w:r>
      <w:r w:rsidR="0099208C">
        <w:t>use Wi-Fi service. The contract will be for 10 years in the first instance with the</w:t>
      </w:r>
      <w:r w:rsidR="006A0E8D">
        <w:t xml:space="preserve"> City</w:t>
      </w:r>
      <w:r w:rsidR="0099208C">
        <w:t xml:space="preserve"> Council</w:t>
      </w:r>
      <w:r w:rsidR="006A0E8D">
        <w:t xml:space="preserve"> reserving the right </w:t>
      </w:r>
      <w:r w:rsidR="00914DB4">
        <w:t>to extend this by a further 5 years.</w:t>
      </w:r>
      <w:r w:rsidR="0099208C">
        <w:t xml:space="preserve"> </w:t>
      </w:r>
    </w:p>
    <w:p w:rsidR="00B05599" w:rsidRDefault="00B05599" w:rsidP="003C6A60">
      <w:pPr>
        <w:pStyle w:val="bParagraphtext"/>
      </w:pPr>
      <w:r>
        <w:t xml:space="preserve">At the end of the contract the Concessionaire shall remove at its own cost any and all equipment from the specified assets owned by the Councils and make good damage caused </w:t>
      </w:r>
      <w:r w:rsidRPr="00B05599">
        <w:t>as a result 30 days prior to the Contract End Date.</w:t>
      </w:r>
    </w:p>
    <w:p w:rsidR="00B05599" w:rsidRPr="003C6A60" w:rsidRDefault="00B05599" w:rsidP="003C6A60">
      <w:pPr>
        <w:pStyle w:val="bParagraphtext"/>
      </w:pPr>
      <w:r w:rsidRPr="00B05599">
        <w:t xml:space="preserve">The ownership of all Equipment remaining on the Specified Assets shall transfer automatically to the Owning Council at nil cost to the Owning Council at 5pm </w:t>
      </w:r>
      <w:r>
        <w:t>on the Contract End Date</w:t>
      </w:r>
      <w:r w:rsidRPr="00B05599">
        <w:t xml:space="preserve"> and the Owning Council retains the right to collect as debt any amount spent by the Owning Council in the removal of such Equipment as is subject to Asset </w:t>
      </w:r>
      <w:r>
        <w:t>Transfer.</w:t>
      </w:r>
    </w:p>
    <w:p w:rsidR="00DD6F75" w:rsidRDefault="00E9602F" w:rsidP="003C6A60">
      <w:pPr>
        <w:pStyle w:val="Heading1"/>
      </w:pPr>
      <w:r>
        <w:t>Financial Implications</w:t>
      </w:r>
    </w:p>
    <w:p w:rsidR="00DD6F75" w:rsidRDefault="00DD6F75" w:rsidP="00DD6F75">
      <w:pPr>
        <w:autoSpaceDE w:val="0"/>
        <w:autoSpaceDN w:val="0"/>
        <w:adjustRightInd w:val="0"/>
        <w:spacing w:after="0"/>
        <w:ind w:left="426" w:hanging="426"/>
        <w:rPr>
          <w:rFonts w:ascii="TT17B9Fo00" w:hAnsi="TT17B9Fo00" w:cs="TT17B9Fo00"/>
          <w:b/>
          <w:color w:val="auto"/>
        </w:rPr>
      </w:pPr>
    </w:p>
    <w:p w:rsidR="006078E2" w:rsidRDefault="00E9602F" w:rsidP="003C6A60">
      <w:pPr>
        <w:pStyle w:val="bParagraphtext"/>
      </w:pPr>
      <w:r>
        <w:t xml:space="preserve">This Project will be financially beneficial to the Council for the </w:t>
      </w:r>
      <w:r w:rsidR="00B6123D">
        <w:t xml:space="preserve">term of the contract. </w:t>
      </w:r>
      <w:r w:rsidR="00737B34">
        <w:t xml:space="preserve">The table </w:t>
      </w:r>
      <w:r w:rsidR="00E10C14">
        <w:t xml:space="preserve">below </w:t>
      </w:r>
      <w:r w:rsidR="00737B34">
        <w:t>demonstrates the pricing breakdown submitted by the potential concessionaire</w:t>
      </w:r>
      <w:r>
        <w:t xml:space="preserve">. </w:t>
      </w:r>
      <w:r w:rsidR="00914262" w:rsidRPr="00D375CA">
        <w:t>The value of the opportunity to the market is not known (nor can it be reliably calculated) but is estimated to be between £600K - £1.8M</w:t>
      </w:r>
      <w:r w:rsidR="00914262">
        <w:t>.</w:t>
      </w:r>
    </w:p>
    <w:p w:rsidR="00205B44" w:rsidRDefault="00205B44" w:rsidP="006078E2">
      <w:pPr>
        <w:tabs>
          <w:tab w:val="left" w:pos="284"/>
          <w:tab w:val="left" w:pos="425"/>
          <w:tab w:val="left" w:pos="567"/>
        </w:tabs>
        <w:spacing w:after="0"/>
        <w:ind w:left="720"/>
        <w:rPr>
          <w:rFonts w:ascii="TT17B9Fo00" w:hAnsi="TT17B9Fo00" w:cs="TT17B9Fo00"/>
          <w:color w:val="auto"/>
        </w:rPr>
      </w:pPr>
    </w:p>
    <w:p w:rsidR="00C10829" w:rsidRDefault="00205B44" w:rsidP="003C6A60">
      <w:pPr>
        <w:pStyle w:val="bParagraphtext"/>
      </w:pPr>
      <w:r>
        <w:t>Guaranteed revenue</w:t>
      </w:r>
      <w:r w:rsidR="001D727B">
        <w:t xml:space="preserve"> from the contract</w:t>
      </w:r>
      <w:r>
        <w:t xml:space="preserve"> is calculated by the</w:t>
      </w:r>
      <w:r w:rsidR="001D727B">
        <w:t xml:space="preserve"> number of</w:t>
      </w:r>
      <w:r w:rsidR="00C94C9E">
        <w:t xml:space="preserve"> rented</w:t>
      </w:r>
      <w:r w:rsidR="001D727B">
        <w:t xml:space="preserve"> assets </w:t>
      </w:r>
      <w:r w:rsidR="00C94C9E">
        <w:t>and the rental amount attributed to each asset.</w:t>
      </w:r>
      <w:r w:rsidR="00E052E2">
        <w:t xml:space="preserve"> The rental value per asset has been set by the concessionaire at £200 per asset. Based on expert advice </w:t>
      </w:r>
      <w:r w:rsidR="00E052E2">
        <w:lastRenderedPageBreak/>
        <w:t xml:space="preserve">this rental value is deemed to be </w:t>
      </w:r>
      <w:r w:rsidR="00012776">
        <w:t>satisfactory and compares favourably with current market rates</w:t>
      </w:r>
    </w:p>
    <w:p w:rsidR="00F5719C" w:rsidRDefault="00C10829" w:rsidP="003C6A60">
      <w:pPr>
        <w:pStyle w:val="bParagraphtext"/>
      </w:pPr>
      <w:r>
        <w:t xml:space="preserve">Non-guaranteed revenue </w:t>
      </w:r>
      <w:r w:rsidR="00B82CDF">
        <w:t xml:space="preserve">is generated by the concessionaire through various potential revenue streams the most important of these being advertising. Advertising conditions set out by the </w:t>
      </w:r>
      <w:r w:rsidR="00012776">
        <w:t>C</w:t>
      </w:r>
      <w:r w:rsidR="00B82CDF">
        <w:t xml:space="preserve">ouncil have been agreed by the </w:t>
      </w:r>
      <w:r w:rsidR="00402911">
        <w:t xml:space="preserve">potential </w:t>
      </w:r>
      <w:r w:rsidR="00B82CDF">
        <w:t>concessionaire.</w:t>
      </w:r>
    </w:p>
    <w:p w:rsidR="00326F6B" w:rsidRDefault="00F5719C" w:rsidP="003C6A60">
      <w:pPr>
        <w:pStyle w:val="bParagraphtext"/>
      </w:pPr>
      <w:r>
        <w:t xml:space="preserve">Evidence of generated non-guaranteed revenue will be provided to the Council on an open book basis, </w:t>
      </w:r>
      <w:r w:rsidR="00326F6B">
        <w:t xml:space="preserve">the non-guaranteed total will be </w:t>
      </w:r>
      <w:r>
        <w:t>based on gross revenue generated from the concession.</w:t>
      </w:r>
    </w:p>
    <w:p w:rsidR="007F0CE9" w:rsidRDefault="00326F6B" w:rsidP="003C6A60">
      <w:pPr>
        <w:pStyle w:val="bParagraphtext"/>
      </w:pPr>
      <w:r>
        <w:t>A confidence factor was applied to the non-guaranteed revenue share proposal of the concessionaire. The non-guaranteed revenue share is based on revenue streams pursued by the concessionaire e.g. advertising opportunities</w:t>
      </w:r>
      <w:r w:rsidR="00891EBC">
        <w:t>. The confidence factor</w:t>
      </w:r>
      <w:r>
        <w:t xml:space="preserve"> was calculated from the pricing response answers that the proposed concessionaire submitted</w:t>
      </w:r>
      <w:r w:rsidR="00891EBC">
        <w:t>.</w:t>
      </w:r>
    </w:p>
    <w:p w:rsidR="00326F6B" w:rsidRDefault="00326F6B" w:rsidP="006078E2">
      <w:pPr>
        <w:tabs>
          <w:tab w:val="left" w:pos="284"/>
          <w:tab w:val="left" w:pos="425"/>
          <w:tab w:val="left" w:pos="567"/>
        </w:tabs>
        <w:spacing w:after="0"/>
        <w:ind w:left="720"/>
        <w:rPr>
          <w:rFonts w:ascii="TT17B9Fo00" w:hAnsi="TT17B9Fo00" w:cs="TT17B9Fo00"/>
          <w:color w:val="auto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29"/>
        <w:gridCol w:w="1690"/>
        <w:gridCol w:w="1523"/>
        <w:gridCol w:w="1875"/>
      </w:tblGrid>
      <w:tr w:rsidR="007151B0" w:rsidRPr="00A83463" w:rsidTr="007151B0">
        <w:trPr>
          <w:trHeight w:val="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51B0" w:rsidRPr="003C6A60" w:rsidRDefault="007151B0" w:rsidP="007151B0">
            <w:pPr>
              <w:rPr>
                <w:rFonts w:cs="Arial"/>
                <w:b/>
                <w:bCs/>
              </w:rPr>
            </w:pPr>
            <w:r w:rsidRPr="003C6A60">
              <w:rPr>
                <w:rFonts w:cs="Arial"/>
                <w:b/>
                <w:bCs/>
              </w:rPr>
              <w:t>Length of Contract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51B0" w:rsidRPr="003C6A60" w:rsidRDefault="007151B0">
            <w:pPr>
              <w:jc w:val="center"/>
              <w:rPr>
                <w:rFonts w:cs="Arial"/>
                <w:b/>
                <w:bCs/>
              </w:rPr>
            </w:pPr>
            <w:r w:rsidRPr="003C6A60">
              <w:rPr>
                <w:rFonts w:cs="Arial"/>
                <w:b/>
                <w:bCs/>
              </w:rPr>
              <w:t>Concession Fee (</w:t>
            </w:r>
            <w:r w:rsidR="00452C8A" w:rsidRPr="003C6A60">
              <w:rPr>
                <w:rFonts w:cs="Arial"/>
                <w:b/>
                <w:bCs/>
              </w:rPr>
              <w:t>guaranteed</w:t>
            </w:r>
            <w:r w:rsidRPr="003C6A60">
              <w:rPr>
                <w:rFonts w:cs="Arial"/>
                <w:b/>
                <w:bCs/>
              </w:rPr>
              <w:t xml:space="preserve"> Income)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1B0" w:rsidRPr="003C6A60" w:rsidRDefault="007151B0">
            <w:pPr>
              <w:jc w:val="center"/>
              <w:rPr>
                <w:rFonts w:cs="Arial"/>
                <w:b/>
                <w:bCs/>
              </w:rPr>
            </w:pPr>
            <w:r w:rsidRPr="003C6A60">
              <w:rPr>
                <w:rFonts w:cs="Arial"/>
                <w:b/>
                <w:bCs/>
              </w:rPr>
              <w:t>Non-guaranteed Revenue Share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1B0" w:rsidRPr="003C6A60" w:rsidRDefault="007151B0">
            <w:pPr>
              <w:jc w:val="center"/>
              <w:rPr>
                <w:rFonts w:cs="Arial"/>
                <w:b/>
                <w:bCs/>
              </w:rPr>
            </w:pPr>
            <w:r w:rsidRPr="003C6A60">
              <w:rPr>
                <w:rFonts w:cs="Arial"/>
                <w:b/>
                <w:bCs/>
              </w:rPr>
              <w:t>Confidence Factor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1B0" w:rsidRPr="003C6A60" w:rsidRDefault="00326F6B" w:rsidP="00326F6B">
            <w:pPr>
              <w:jc w:val="center"/>
              <w:rPr>
                <w:rFonts w:cs="Arial"/>
                <w:b/>
                <w:bCs/>
              </w:rPr>
            </w:pPr>
            <w:r w:rsidRPr="003C6A60">
              <w:rPr>
                <w:rFonts w:cs="Arial"/>
                <w:b/>
                <w:bCs/>
              </w:rPr>
              <w:t xml:space="preserve">Concession Total </w:t>
            </w:r>
            <w:r w:rsidR="007151B0" w:rsidRPr="003C6A60">
              <w:rPr>
                <w:rFonts w:cs="Arial"/>
                <w:b/>
                <w:bCs/>
              </w:rPr>
              <w:t xml:space="preserve">Guaranteed </w:t>
            </w:r>
            <w:r w:rsidRPr="003C6A60">
              <w:rPr>
                <w:rFonts w:cs="Arial"/>
                <w:b/>
                <w:bCs/>
              </w:rPr>
              <w:t>+</w:t>
            </w:r>
            <w:r w:rsidR="007151B0" w:rsidRPr="003C6A60">
              <w:rPr>
                <w:rFonts w:cs="Arial"/>
                <w:b/>
                <w:bCs/>
              </w:rPr>
              <w:t xml:space="preserve"> Non-guaranteed With Confidence Factor Applied     </w:t>
            </w:r>
          </w:p>
        </w:tc>
      </w:tr>
      <w:tr w:rsidR="007151B0" w:rsidRPr="00A83463" w:rsidTr="00326F6B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£108,800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£227,640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62%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1D2CD7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</w:t>
            </w:r>
            <w:r w:rsidR="007151B0" w:rsidRPr="003C6A60">
              <w:rPr>
                <w:rFonts w:cs="Arial"/>
                <w:b/>
              </w:rPr>
              <w:t>249</w:t>
            </w:r>
            <w:r w:rsidRPr="003C6A60">
              <w:rPr>
                <w:rFonts w:cs="Arial"/>
                <w:b/>
              </w:rPr>
              <w:t>,</w:t>
            </w:r>
            <w:r w:rsidR="007151B0" w:rsidRPr="003C6A60">
              <w:rPr>
                <w:rFonts w:cs="Arial"/>
                <w:b/>
              </w:rPr>
              <w:t>936.8</w:t>
            </w:r>
          </w:p>
        </w:tc>
      </w:tr>
      <w:tr w:rsidR="007151B0" w:rsidRPr="00A83463" w:rsidTr="00326F6B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15 Years</w:t>
            </w:r>
            <w:r w:rsidR="00326F6B" w:rsidRPr="003C6A60">
              <w:rPr>
                <w:rFonts w:cs="Arial"/>
                <w:b/>
              </w:rPr>
              <w:t xml:space="preserve"> (additional 5 year extension)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£56,000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£135,600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62%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£140,072</w:t>
            </w:r>
            <w:r w:rsidR="001D2CD7" w:rsidRPr="003C6A60">
              <w:rPr>
                <w:rFonts w:cs="Arial"/>
                <w:b/>
              </w:rPr>
              <w:t>.0</w:t>
            </w:r>
          </w:p>
        </w:tc>
      </w:tr>
      <w:tr w:rsidR="007151B0" w:rsidRPr="00A83463" w:rsidTr="00326F6B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 xml:space="preserve">Potential Contract 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£164,800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£363,240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62%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1B0" w:rsidRPr="003C6A60" w:rsidRDefault="007151B0" w:rsidP="00326F6B">
            <w:pPr>
              <w:jc w:val="right"/>
              <w:rPr>
                <w:rFonts w:cs="Arial"/>
                <w:b/>
              </w:rPr>
            </w:pPr>
            <w:r w:rsidRPr="003C6A60">
              <w:rPr>
                <w:rFonts w:cs="Arial"/>
                <w:b/>
              </w:rPr>
              <w:t>£390,008.8</w:t>
            </w:r>
          </w:p>
        </w:tc>
      </w:tr>
    </w:tbl>
    <w:p w:rsidR="00725282" w:rsidRDefault="00725282" w:rsidP="00326F6B">
      <w:pPr>
        <w:autoSpaceDE w:val="0"/>
        <w:autoSpaceDN w:val="0"/>
        <w:adjustRightInd w:val="0"/>
        <w:spacing w:after="0"/>
        <w:rPr>
          <w:rFonts w:ascii="TT17B9Fo00" w:hAnsi="TT17B9Fo00" w:cs="TT17B9Fo00"/>
          <w:color w:val="auto"/>
        </w:rPr>
      </w:pPr>
    </w:p>
    <w:p w:rsidR="00E9602F" w:rsidRDefault="00725282" w:rsidP="003C6A60">
      <w:pPr>
        <w:pStyle w:val="bParagraphtext"/>
      </w:pPr>
      <w:r>
        <w:t xml:space="preserve">The project has been </w:t>
      </w:r>
      <w:r w:rsidR="00012776">
        <w:t xml:space="preserve">led by Oxford City Council </w:t>
      </w:r>
      <w:r>
        <w:t>in partnership with Oxfordshire County Council</w:t>
      </w:r>
      <w:r w:rsidR="00012776">
        <w:t>.</w:t>
      </w:r>
      <w:r w:rsidR="00F851B1">
        <w:t xml:space="preserve"> A</w:t>
      </w:r>
      <w:r>
        <w:t xml:space="preserve">ny monies received from the concessionaire will be split between the City and County Councils. </w:t>
      </w:r>
      <w:r w:rsidR="00B716B5">
        <w:t>The C</w:t>
      </w:r>
      <w:r>
        <w:t xml:space="preserve">ity </w:t>
      </w:r>
      <w:r w:rsidR="00B716B5">
        <w:t xml:space="preserve">Council </w:t>
      </w:r>
      <w:r>
        <w:t xml:space="preserve">will </w:t>
      </w:r>
      <w:r w:rsidR="00B716B5">
        <w:t>receive</w:t>
      </w:r>
      <w:r>
        <w:t xml:space="preserve"> the first £90,000 of income from the concessionaire to cover project costs</w:t>
      </w:r>
      <w:r w:rsidR="00891EBC">
        <w:t>.</w:t>
      </w:r>
      <w:r>
        <w:t xml:space="preserve"> </w:t>
      </w:r>
      <w:r w:rsidR="00891EBC">
        <w:t>F</w:t>
      </w:r>
      <w:r>
        <w:t>urt</w:t>
      </w:r>
      <w:r w:rsidR="00E9602F">
        <w:t>her monies</w:t>
      </w:r>
      <w:r w:rsidR="00891EBC">
        <w:t xml:space="preserve"> </w:t>
      </w:r>
      <w:r w:rsidR="00012776">
        <w:t xml:space="preserve">above </w:t>
      </w:r>
      <w:r w:rsidR="00891EBC">
        <w:t>£90,000</w:t>
      </w:r>
      <w:r w:rsidR="00E9602F">
        <w:t xml:space="preserve"> will be split 50:50</w:t>
      </w:r>
      <w:r w:rsidR="00891EBC">
        <w:t xml:space="preserve"> between the City &amp; County Councils.</w:t>
      </w:r>
    </w:p>
    <w:p w:rsidR="0040736F" w:rsidRPr="00E9602F" w:rsidRDefault="00E9602F" w:rsidP="003C6A60">
      <w:pPr>
        <w:pStyle w:val="bParagraphtext"/>
      </w:pPr>
      <w:r>
        <w:t>T</w:t>
      </w:r>
      <w:r w:rsidR="00725282">
        <w:t>he concessionaire will have access to and install wireless equipment onto street furniture with an electrical supply</w:t>
      </w:r>
      <w:r>
        <w:t>,</w:t>
      </w:r>
      <w:r w:rsidR="00725282">
        <w:t xml:space="preserve"> this will predominantly be street lights owned by the County council.</w:t>
      </w:r>
      <w:r w:rsidR="002612DC">
        <w:t xml:space="preserve"> The cost of the electricity will be at a cost to the concessionaire</w:t>
      </w:r>
      <w:r w:rsidR="00012776">
        <w:t>.</w:t>
      </w:r>
      <w:r w:rsidR="002612DC">
        <w:t xml:space="preserve"> </w:t>
      </w:r>
    </w:p>
    <w:p w:rsidR="005217DA" w:rsidRPr="005217DA" w:rsidRDefault="005217DA" w:rsidP="005217DA">
      <w:pPr>
        <w:spacing w:after="0"/>
      </w:pPr>
    </w:p>
    <w:p w:rsidR="0040736F" w:rsidRDefault="00DA614B" w:rsidP="000F6B91">
      <w:pPr>
        <w:pStyle w:val="Heading1"/>
        <w:spacing w:before="0" w:after="0"/>
      </w:pPr>
      <w:r w:rsidRPr="001356F1">
        <w:t>Legal issues</w:t>
      </w:r>
    </w:p>
    <w:p w:rsidR="005217DA" w:rsidRPr="005217DA" w:rsidRDefault="005217DA" w:rsidP="005217DA">
      <w:pPr>
        <w:spacing w:after="0"/>
      </w:pPr>
    </w:p>
    <w:p w:rsidR="005E034B" w:rsidRDefault="000151A3" w:rsidP="003C6A60">
      <w:pPr>
        <w:pStyle w:val="bParagraphtext"/>
      </w:pPr>
      <w:r>
        <w:t>In order to ensure the contr</w:t>
      </w:r>
      <w:r w:rsidR="00A43FD5">
        <w:t xml:space="preserve">act is </w:t>
      </w:r>
      <w:r w:rsidR="00F218D8">
        <w:t xml:space="preserve">properly </w:t>
      </w:r>
      <w:r w:rsidR="00A43FD5">
        <w:t>awarded</w:t>
      </w:r>
      <w:r w:rsidR="00F218D8">
        <w:t xml:space="preserve">, </w:t>
      </w:r>
      <w:r w:rsidR="008E6E43">
        <w:t>delegated</w:t>
      </w:r>
      <w:r w:rsidR="006874EF">
        <w:t xml:space="preserve"> authority</w:t>
      </w:r>
      <w:r>
        <w:t xml:space="preserve"> is required due the size of opportunity this presents to the market.</w:t>
      </w:r>
      <w:r w:rsidR="00F218D8">
        <w:t xml:space="preserve"> </w:t>
      </w:r>
      <w:r w:rsidR="00541BB4">
        <w:t>The opportunity to the ma</w:t>
      </w:r>
      <w:r w:rsidR="00CC3246">
        <w:t>r</w:t>
      </w:r>
      <w:r w:rsidR="00541BB4">
        <w:t xml:space="preserve">ket has been estimated at </w:t>
      </w:r>
      <w:r w:rsidR="00CC3246">
        <w:t xml:space="preserve">between </w:t>
      </w:r>
      <w:r w:rsidR="00541BB4">
        <w:t xml:space="preserve">£600K - £1.8M </w:t>
      </w:r>
      <w:r w:rsidR="00CC3246">
        <w:t>.The opportunity has been advertised in accordance with the European Procurement Regulations, and any resulting contract would be let on terms and conditions prescribed by the Council.</w:t>
      </w:r>
    </w:p>
    <w:p w:rsidR="002329CF" w:rsidRDefault="002329CF" w:rsidP="005217DA">
      <w:pPr>
        <w:pStyle w:val="Heading1"/>
        <w:spacing w:after="0"/>
      </w:pPr>
      <w:r w:rsidRPr="001356F1">
        <w:t>Level of risk</w:t>
      </w:r>
    </w:p>
    <w:p w:rsidR="005217DA" w:rsidRPr="005217DA" w:rsidRDefault="005217DA" w:rsidP="005217DA">
      <w:pPr>
        <w:spacing w:after="0"/>
      </w:pPr>
    </w:p>
    <w:p w:rsidR="00BC69A4" w:rsidRPr="001356F1" w:rsidRDefault="00B03308" w:rsidP="003C6A60">
      <w:pPr>
        <w:pStyle w:val="bParagraphtext"/>
      </w:pPr>
      <w:r>
        <w:lastRenderedPageBreak/>
        <w:t>A Risk Register has been prepared and appended</w:t>
      </w:r>
    </w:p>
    <w:p w:rsidR="002329CF" w:rsidRDefault="002329CF" w:rsidP="005217DA">
      <w:pPr>
        <w:pStyle w:val="Heading1"/>
        <w:spacing w:after="0"/>
      </w:pPr>
      <w:r w:rsidRPr="001356F1">
        <w:t xml:space="preserve">Equalities impact </w:t>
      </w:r>
    </w:p>
    <w:p w:rsidR="005217DA" w:rsidRPr="005217DA" w:rsidRDefault="005217DA" w:rsidP="005217DA">
      <w:pPr>
        <w:spacing w:after="0"/>
      </w:pPr>
    </w:p>
    <w:p w:rsidR="00891EBC" w:rsidRDefault="00613188" w:rsidP="003C6A60">
      <w:pPr>
        <w:pStyle w:val="bParagraphtext"/>
      </w:pPr>
      <w:r>
        <w:t xml:space="preserve">Original Equalities Impact Assessment attached. </w:t>
      </w:r>
    </w:p>
    <w:p w:rsidR="00E87F7A" w:rsidRPr="001356F1" w:rsidRDefault="00E87F7A" w:rsidP="00E87F7A">
      <w:pPr>
        <w:pStyle w:val="Heading1"/>
      </w:pPr>
      <w:r w:rsidRPr="001356F1">
        <w:t>Conclusion</w:t>
      </w:r>
    </w:p>
    <w:p w:rsidR="008E6E43" w:rsidRDefault="00E9602F" w:rsidP="003C6A60">
      <w:pPr>
        <w:pStyle w:val="bParagraphtext"/>
      </w:pPr>
      <w:r>
        <w:t xml:space="preserve">The project will provide an income to the Council and </w:t>
      </w:r>
      <w:r w:rsidR="00B716B5">
        <w:t>will provide a useful service to</w:t>
      </w:r>
      <w:r>
        <w:t xml:space="preserve"> the community.</w:t>
      </w:r>
    </w:p>
    <w:p w:rsidR="00E9602F" w:rsidRDefault="00E9602F" w:rsidP="008E6E43">
      <w:pPr>
        <w:spacing w:after="0"/>
      </w:pPr>
    </w:p>
    <w:p w:rsidR="00E9602F" w:rsidRPr="001356F1" w:rsidRDefault="00E9602F" w:rsidP="008E6E43">
      <w:pPr>
        <w:spacing w:after="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D7A74" w:rsidP="00A46E98">
            <w:r>
              <w:t>Oliver Collins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D7A74" w:rsidP="00A46E98">
            <w:r>
              <w:t>Project Support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D7A74" w:rsidP="00A46E98">
            <w:r>
              <w:t>Business Improvement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D7A74">
            <w:r w:rsidRPr="001356F1">
              <w:t xml:space="preserve">01865 </w:t>
            </w:r>
            <w:r w:rsidR="001D7A74">
              <w:t>252845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A74" w:rsidRPr="001356F1" w:rsidRDefault="001D7A74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ocollins@oxford.gov.uk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4456DD" w:rsidRPr="009E51FC" w:rsidRDefault="004456DD" w:rsidP="0093067A"/>
    <w:sectPr w:rsidR="004456DD" w:rsidRPr="009E51FC" w:rsidSect="005217DA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D" w:rsidRDefault="004518AD" w:rsidP="004A6D2F">
      <w:r>
        <w:separator/>
      </w:r>
    </w:p>
  </w:endnote>
  <w:endnote w:type="continuationSeparator" w:id="0">
    <w:p w:rsidR="004518AD" w:rsidRDefault="004518A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7B9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9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D" w:rsidRDefault="004518AD" w:rsidP="004A6D2F">
      <w:r>
        <w:separator/>
      </w:r>
    </w:p>
  </w:footnote>
  <w:footnote w:type="continuationSeparator" w:id="0">
    <w:p w:rsidR="004518AD" w:rsidRDefault="004518A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113E6B" w:rsidP="00D5547E">
    <w:pPr>
      <w:pStyle w:val="Header"/>
      <w:jc w:val="right"/>
    </w:pPr>
    <w:r>
      <w:rPr>
        <w:noProof/>
      </w:rPr>
      <w:drawing>
        <wp:inline distT="0" distB="0" distL="0" distR="0" wp14:anchorId="735E4B3E" wp14:editId="03796D42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37831"/>
    <w:multiLevelType w:val="hybridMultilevel"/>
    <w:tmpl w:val="513E2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75224"/>
    <w:multiLevelType w:val="hybridMultilevel"/>
    <w:tmpl w:val="0D72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C4484"/>
    <w:multiLevelType w:val="hybridMultilevel"/>
    <w:tmpl w:val="55864D3A"/>
    <w:lvl w:ilvl="0" w:tplc="04B88596">
      <w:start w:val="10"/>
      <w:numFmt w:val="decimal"/>
      <w:suff w:val="nothing"/>
      <w:lvlText w:val="%1."/>
      <w:lvlJc w:val="left"/>
      <w:pPr>
        <w:ind w:left="0" w:firstLine="71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910476"/>
    <w:multiLevelType w:val="hybridMultilevel"/>
    <w:tmpl w:val="4462C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A5FD8"/>
    <w:multiLevelType w:val="multilevel"/>
    <w:tmpl w:val="43D6D2FA"/>
    <w:numStyleLink w:val="StyleBulletedSymbolsymbolLeft063cmHanging063cm"/>
  </w:abstractNum>
  <w:abstractNum w:abstractNumId="3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2831"/>
    <w:multiLevelType w:val="multilevel"/>
    <w:tmpl w:val="43D6D2FA"/>
    <w:numStyleLink w:val="StyleBulletedSymbolsymbolLeft063cmHanging063cm"/>
  </w:abstractNum>
  <w:abstractNum w:abstractNumId="3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8365C6"/>
    <w:multiLevelType w:val="multilevel"/>
    <w:tmpl w:val="E67CE66C"/>
    <w:numStyleLink w:val="StyleNumberedLeft0cmHanging075cm"/>
  </w:abstractNum>
  <w:num w:numId="1">
    <w:abstractNumId w:val="29"/>
  </w:num>
  <w:num w:numId="2">
    <w:abstractNumId w:val="34"/>
  </w:num>
  <w:num w:numId="3">
    <w:abstractNumId w:val="26"/>
  </w:num>
  <w:num w:numId="4">
    <w:abstractNumId w:val="20"/>
  </w:num>
  <w:num w:numId="5">
    <w:abstractNumId w:val="31"/>
  </w:num>
  <w:num w:numId="6">
    <w:abstractNumId w:val="35"/>
  </w:num>
  <w:num w:numId="7">
    <w:abstractNumId w:val="25"/>
  </w:num>
  <w:num w:numId="8">
    <w:abstractNumId w:val="22"/>
  </w:num>
  <w:num w:numId="9">
    <w:abstractNumId w:val="13"/>
  </w:num>
  <w:num w:numId="10">
    <w:abstractNumId w:val="17"/>
  </w:num>
  <w:num w:numId="11">
    <w:abstractNumId w:val="28"/>
  </w:num>
  <w:num w:numId="12">
    <w:abstractNumId w:val="27"/>
  </w:num>
  <w:num w:numId="13">
    <w:abstractNumId w:val="10"/>
  </w:num>
  <w:num w:numId="14">
    <w:abstractNumId w:val="36"/>
  </w:num>
  <w:num w:numId="15">
    <w:abstractNumId w:val="18"/>
  </w:num>
  <w:num w:numId="16">
    <w:abstractNumId w:val="11"/>
  </w:num>
  <w:num w:numId="17">
    <w:abstractNumId w:val="30"/>
  </w:num>
  <w:num w:numId="18">
    <w:abstractNumId w:val="12"/>
  </w:num>
  <w:num w:numId="19">
    <w:abstractNumId w:val="32"/>
  </w:num>
  <w:num w:numId="20">
    <w:abstractNumId w:val="19"/>
  </w:num>
  <w:num w:numId="21">
    <w:abstractNumId w:val="23"/>
  </w:num>
  <w:num w:numId="22">
    <w:abstractNumId w:val="14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16"/>
  </w:num>
  <w:num w:numId="36">
    <w:abstractNumId w:val="24"/>
  </w:num>
  <w:num w:numId="3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0"/>
    <w:rsid w:val="000117D4"/>
    <w:rsid w:val="00012776"/>
    <w:rsid w:val="000151A3"/>
    <w:rsid w:val="00022CAC"/>
    <w:rsid w:val="000314D7"/>
    <w:rsid w:val="00035F7E"/>
    <w:rsid w:val="00045F8B"/>
    <w:rsid w:val="00046D2B"/>
    <w:rsid w:val="00056263"/>
    <w:rsid w:val="00064D8A"/>
    <w:rsid w:val="00064F82"/>
    <w:rsid w:val="00066510"/>
    <w:rsid w:val="0007630C"/>
    <w:rsid w:val="00077523"/>
    <w:rsid w:val="000A4865"/>
    <w:rsid w:val="000C089F"/>
    <w:rsid w:val="000C3928"/>
    <w:rsid w:val="000C5E8E"/>
    <w:rsid w:val="000D5B15"/>
    <w:rsid w:val="000E373F"/>
    <w:rsid w:val="000F4751"/>
    <w:rsid w:val="000F6B91"/>
    <w:rsid w:val="0010524C"/>
    <w:rsid w:val="00111FB1"/>
    <w:rsid w:val="00113418"/>
    <w:rsid w:val="00113E6B"/>
    <w:rsid w:val="001356F1"/>
    <w:rsid w:val="00136994"/>
    <w:rsid w:val="0013792B"/>
    <w:rsid w:val="0014128E"/>
    <w:rsid w:val="00143942"/>
    <w:rsid w:val="00151888"/>
    <w:rsid w:val="00154A60"/>
    <w:rsid w:val="00170A2D"/>
    <w:rsid w:val="001808BC"/>
    <w:rsid w:val="00182B81"/>
    <w:rsid w:val="0018619D"/>
    <w:rsid w:val="001A011E"/>
    <w:rsid w:val="001A066A"/>
    <w:rsid w:val="001A13E6"/>
    <w:rsid w:val="001A1E64"/>
    <w:rsid w:val="001A31C7"/>
    <w:rsid w:val="001A5731"/>
    <w:rsid w:val="001B42C3"/>
    <w:rsid w:val="001C5D5E"/>
    <w:rsid w:val="001D2CD7"/>
    <w:rsid w:val="001D678D"/>
    <w:rsid w:val="001D727B"/>
    <w:rsid w:val="001D7A74"/>
    <w:rsid w:val="001E03F8"/>
    <w:rsid w:val="001E1678"/>
    <w:rsid w:val="001E3376"/>
    <w:rsid w:val="002045FC"/>
    <w:rsid w:val="00205B44"/>
    <w:rsid w:val="002069B3"/>
    <w:rsid w:val="0021424C"/>
    <w:rsid w:val="002329CF"/>
    <w:rsid w:val="00232F5B"/>
    <w:rsid w:val="00235B90"/>
    <w:rsid w:val="00247C29"/>
    <w:rsid w:val="00260467"/>
    <w:rsid w:val="002612DC"/>
    <w:rsid w:val="00263EA3"/>
    <w:rsid w:val="00266BD1"/>
    <w:rsid w:val="00284F85"/>
    <w:rsid w:val="00290915"/>
    <w:rsid w:val="002972EB"/>
    <w:rsid w:val="002A22E2"/>
    <w:rsid w:val="002C1E98"/>
    <w:rsid w:val="002C64F7"/>
    <w:rsid w:val="002E43B9"/>
    <w:rsid w:val="002F2286"/>
    <w:rsid w:val="002F41F2"/>
    <w:rsid w:val="00301BF3"/>
    <w:rsid w:val="0030208D"/>
    <w:rsid w:val="00323418"/>
    <w:rsid w:val="00326F6B"/>
    <w:rsid w:val="003355F1"/>
    <w:rsid w:val="003357BF"/>
    <w:rsid w:val="003450A7"/>
    <w:rsid w:val="0035045A"/>
    <w:rsid w:val="00364FAD"/>
    <w:rsid w:val="0036738F"/>
    <w:rsid w:val="0036759C"/>
    <w:rsid w:val="00367AE5"/>
    <w:rsid w:val="00367D71"/>
    <w:rsid w:val="0038150A"/>
    <w:rsid w:val="003B5E77"/>
    <w:rsid w:val="003B6E75"/>
    <w:rsid w:val="003B7956"/>
    <w:rsid w:val="003B7DA1"/>
    <w:rsid w:val="003C592C"/>
    <w:rsid w:val="003C6A60"/>
    <w:rsid w:val="003D0379"/>
    <w:rsid w:val="003D2574"/>
    <w:rsid w:val="003D2697"/>
    <w:rsid w:val="003D4C59"/>
    <w:rsid w:val="003F4267"/>
    <w:rsid w:val="003F4457"/>
    <w:rsid w:val="00402911"/>
    <w:rsid w:val="00404032"/>
    <w:rsid w:val="004049DA"/>
    <w:rsid w:val="0040736F"/>
    <w:rsid w:val="00412C1F"/>
    <w:rsid w:val="00421CB2"/>
    <w:rsid w:val="00425279"/>
    <w:rsid w:val="004268B9"/>
    <w:rsid w:val="00433B96"/>
    <w:rsid w:val="004440F1"/>
    <w:rsid w:val="004456DD"/>
    <w:rsid w:val="00446CDF"/>
    <w:rsid w:val="004518AD"/>
    <w:rsid w:val="004521B7"/>
    <w:rsid w:val="00452C8A"/>
    <w:rsid w:val="004608B1"/>
    <w:rsid w:val="00462AB5"/>
    <w:rsid w:val="00465EAF"/>
    <w:rsid w:val="00473332"/>
    <w:rsid w:val="004738C5"/>
    <w:rsid w:val="0048185C"/>
    <w:rsid w:val="00486A99"/>
    <w:rsid w:val="00491046"/>
    <w:rsid w:val="00492C92"/>
    <w:rsid w:val="004976DF"/>
    <w:rsid w:val="004A2AC7"/>
    <w:rsid w:val="004A6D2F"/>
    <w:rsid w:val="004B07CB"/>
    <w:rsid w:val="004C2887"/>
    <w:rsid w:val="004D06A1"/>
    <w:rsid w:val="004D2626"/>
    <w:rsid w:val="004D2740"/>
    <w:rsid w:val="004D6E26"/>
    <w:rsid w:val="004D77D3"/>
    <w:rsid w:val="004E2959"/>
    <w:rsid w:val="004E3BD2"/>
    <w:rsid w:val="004F20EF"/>
    <w:rsid w:val="0050321C"/>
    <w:rsid w:val="005217DA"/>
    <w:rsid w:val="0052738A"/>
    <w:rsid w:val="005303DA"/>
    <w:rsid w:val="00541BB4"/>
    <w:rsid w:val="0054712D"/>
    <w:rsid w:val="0054752B"/>
    <w:rsid w:val="00547EF6"/>
    <w:rsid w:val="005570B5"/>
    <w:rsid w:val="00567E18"/>
    <w:rsid w:val="00575F5F"/>
    <w:rsid w:val="00581805"/>
    <w:rsid w:val="00581906"/>
    <w:rsid w:val="00585F76"/>
    <w:rsid w:val="005A34E4"/>
    <w:rsid w:val="005A4A9C"/>
    <w:rsid w:val="005A6F8A"/>
    <w:rsid w:val="005B17F2"/>
    <w:rsid w:val="005B7FB0"/>
    <w:rsid w:val="005C0858"/>
    <w:rsid w:val="005C35A5"/>
    <w:rsid w:val="005C577C"/>
    <w:rsid w:val="005D0621"/>
    <w:rsid w:val="005D1E27"/>
    <w:rsid w:val="005D23F1"/>
    <w:rsid w:val="005D2A3E"/>
    <w:rsid w:val="005D6A11"/>
    <w:rsid w:val="005E022E"/>
    <w:rsid w:val="005E034B"/>
    <w:rsid w:val="005E5143"/>
    <w:rsid w:val="005E5215"/>
    <w:rsid w:val="005F7F7E"/>
    <w:rsid w:val="006046EF"/>
    <w:rsid w:val="006078E2"/>
    <w:rsid w:val="00613188"/>
    <w:rsid w:val="00614693"/>
    <w:rsid w:val="00621C06"/>
    <w:rsid w:val="00623C2F"/>
    <w:rsid w:val="00630004"/>
    <w:rsid w:val="00633578"/>
    <w:rsid w:val="00633996"/>
    <w:rsid w:val="00637068"/>
    <w:rsid w:val="006413C5"/>
    <w:rsid w:val="00650811"/>
    <w:rsid w:val="00661D3E"/>
    <w:rsid w:val="006874EF"/>
    <w:rsid w:val="00692627"/>
    <w:rsid w:val="006969E7"/>
    <w:rsid w:val="006A0E8D"/>
    <w:rsid w:val="006A3643"/>
    <w:rsid w:val="006C2A29"/>
    <w:rsid w:val="006C64CF"/>
    <w:rsid w:val="006D17B1"/>
    <w:rsid w:val="006D1E66"/>
    <w:rsid w:val="006D4752"/>
    <w:rsid w:val="006D708A"/>
    <w:rsid w:val="006E14C1"/>
    <w:rsid w:val="006F0292"/>
    <w:rsid w:val="006F27FA"/>
    <w:rsid w:val="006F416B"/>
    <w:rsid w:val="006F519B"/>
    <w:rsid w:val="00706BB5"/>
    <w:rsid w:val="00712B7B"/>
    <w:rsid w:val="00713675"/>
    <w:rsid w:val="007151B0"/>
    <w:rsid w:val="00715823"/>
    <w:rsid w:val="00717625"/>
    <w:rsid w:val="00722163"/>
    <w:rsid w:val="00725282"/>
    <w:rsid w:val="00734D8B"/>
    <w:rsid w:val="00737B34"/>
    <w:rsid w:val="00737B93"/>
    <w:rsid w:val="00745BF0"/>
    <w:rsid w:val="0074691C"/>
    <w:rsid w:val="007615FE"/>
    <w:rsid w:val="0076655C"/>
    <w:rsid w:val="007742DC"/>
    <w:rsid w:val="00791437"/>
    <w:rsid w:val="00795FDE"/>
    <w:rsid w:val="007B0C2C"/>
    <w:rsid w:val="007B278E"/>
    <w:rsid w:val="007B2831"/>
    <w:rsid w:val="007C5C23"/>
    <w:rsid w:val="007C6E48"/>
    <w:rsid w:val="007E2A26"/>
    <w:rsid w:val="007F0CE9"/>
    <w:rsid w:val="007F2348"/>
    <w:rsid w:val="00803F07"/>
    <w:rsid w:val="0080749A"/>
    <w:rsid w:val="008119C3"/>
    <w:rsid w:val="00821FB8"/>
    <w:rsid w:val="00822ACD"/>
    <w:rsid w:val="00831AF3"/>
    <w:rsid w:val="00835114"/>
    <w:rsid w:val="00855C66"/>
    <w:rsid w:val="00863A69"/>
    <w:rsid w:val="00871EE4"/>
    <w:rsid w:val="00881B86"/>
    <w:rsid w:val="008827D0"/>
    <w:rsid w:val="00891EBC"/>
    <w:rsid w:val="0089721F"/>
    <w:rsid w:val="008A3082"/>
    <w:rsid w:val="008B293F"/>
    <w:rsid w:val="008B7371"/>
    <w:rsid w:val="008C07A6"/>
    <w:rsid w:val="008D3DDB"/>
    <w:rsid w:val="008E6E43"/>
    <w:rsid w:val="008F30DA"/>
    <w:rsid w:val="008F573F"/>
    <w:rsid w:val="009034EC"/>
    <w:rsid w:val="00914262"/>
    <w:rsid w:val="00914DB4"/>
    <w:rsid w:val="0093067A"/>
    <w:rsid w:val="00941C60"/>
    <w:rsid w:val="00950A85"/>
    <w:rsid w:val="00955B35"/>
    <w:rsid w:val="00966D42"/>
    <w:rsid w:val="00971689"/>
    <w:rsid w:val="00973E90"/>
    <w:rsid w:val="00975B07"/>
    <w:rsid w:val="00980B4A"/>
    <w:rsid w:val="0099208C"/>
    <w:rsid w:val="009A132D"/>
    <w:rsid w:val="009B3C20"/>
    <w:rsid w:val="009E2CE9"/>
    <w:rsid w:val="009E3D0A"/>
    <w:rsid w:val="009E51FC"/>
    <w:rsid w:val="009E7374"/>
    <w:rsid w:val="009F16C6"/>
    <w:rsid w:val="009F1D28"/>
    <w:rsid w:val="009F35D3"/>
    <w:rsid w:val="009F6C6D"/>
    <w:rsid w:val="009F7618"/>
    <w:rsid w:val="00A013C4"/>
    <w:rsid w:val="00A04D23"/>
    <w:rsid w:val="00A052F9"/>
    <w:rsid w:val="00A06766"/>
    <w:rsid w:val="00A101B9"/>
    <w:rsid w:val="00A13765"/>
    <w:rsid w:val="00A21B12"/>
    <w:rsid w:val="00A23F80"/>
    <w:rsid w:val="00A43FB6"/>
    <w:rsid w:val="00A43FD5"/>
    <w:rsid w:val="00A46E98"/>
    <w:rsid w:val="00A61BFC"/>
    <w:rsid w:val="00A6352B"/>
    <w:rsid w:val="00A701B5"/>
    <w:rsid w:val="00A714BB"/>
    <w:rsid w:val="00A7473A"/>
    <w:rsid w:val="00A77AB3"/>
    <w:rsid w:val="00A83463"/>
    <w:rsid w:val="00A92D8F"/>
    <w:rsid w:val="00A94E7F"/>
    <w:rsid w:val="00AB2988"/>
    <w:rsid w:val="00AB7999"/>
    <w:rsid w:val="00AD3292"/>
    <w:rsid w:val="00AE69CB"/>
    <w:rsid w:val="00AE7AF0"/>
    <w:rsid w:val="00AF4E5C"/>
    <w:rsid w:val="00AF5A27"/>
    <w:rsid w:val="00B01545"/>
    <w:rsid w:val="00B03308"/>
    <w:rsid w:val="00B05599"/>
    <w:rsid w:val="00B33E59"/>
    <w:rsid w:val="00B500CA"/>
    <w:rsid w:val="00B6123D"/>
    <w:rsid w:val="00B716B5"/>
    <w:rsid w:val="00B82CDF"/>
    <w:rsid w:val="00B848F9"/>
    <w:rsid w:val="00B86314"/>
    <w:rsid w:val="00BA1C2E"/>
    <w:rsid w:val="00BA48CD"/>
    <w:rsid w:val="00BC200B"/>
    <w:rsid w:val="00BC4756"/>
    <w:rsid w:val="00BC69A4"/>
    <w:rsid w:val="00BE0680"/>
    <w:rsid w:val="00BE305F"/>
    <w:rsid w:val="00BE7BA3"/>
    <w:rsid w:val="00BF5682"/>
    <w:rsid w:val="00BF7B09"/>
    <w:rsid w:val="00C00B18"/>
    <w:rsid w:val="00C03382"/>
    <w:rsid w:val="00C10829"/>
    <w:rsid w:val="00C20A95"/>
    <w:rsid w:val="00C2692F"/>
    <w:rsid w:val="00C3207C"/>
    <w:rsid w:val="00C400E1"/>
    <w:rsid w:val="00C41187"/>
    <w:rsid w:val="00C63C31"/>
    <w:rsid w:val="00C662D8"/>
    <w:rsid w:val="00C757A0"/>
    <w:rsid w:val="00C760DE"/>
    <w:rsid w:val="00C803E0"/>
    <w:rsid w:val="00C82630"/>
    <w:rsid w:val="00C85B4E"/>
    <w:rsid w:val="00C907F7"/>
    <w:rsid w:val="00C94C9E"/>
    <w:rsid w:val="00CA2103"/>
    <w:rsid w:val="00CB6B99"/>
    <w:rsid w:val="00CC3246"/>
    <w:rsid w:val="00CE4C87"/>
    <w:rsid w:val="00CE544A"/>
    <w:rsid w:val="00CF651C"/>
    <w:rsid w:val="00D02E50"/>
    <w:rsid w:val="00D11E1C"/>
    <w:rsid w:val="00D160B0"/>
    <w:rsid w:val="00D17F94"/>
    <w:rsid w:val="00D223FC"/>
    <w:rsid w:val="00D26D1E"/>
    <w:rsid w:val="00D350E8"/>
    <w:rsid w:val="00D36E88"/>
    <w:rsid w:val="00D3736F"/>
    <w:rsid w:val="00D375CA"/>
    <w:rsid w:val="00D474CF"/>
    <w:rsid w:val="00D5547E"/>
    <w:rsid w:val="00D575E6"/>
    <w:rsid w:val="00D61D9D"/>
    <w:rsid w:val="00D72320"/>
    <w:rsid w:val="00D76ED3"/>
    <w:rsid w:val="00D869A1"/>
    <w:rsid w:val="00D955B1"/>
    <w:rsid w:val="00D96829"/>
    <w:rsid w:val="00DA413F"/>
    <w:rsid w:val="00DA4584"/>
    <w:rsid w:val="00DA614B"/>
    <w:rsid w:val="00DC3060"/>
    <w:rsid w:val="00DC427A"/>
    <w:rsid w:val="00DD6F75"/>
    <w:rsid w:val="00DE0FB2"/>
    <w:rsid w:val="00DF093E"/>
    <w:rsid w:val="00E01F42"/>
    <w:rsid w:val="00E052E2"/>
    <w:rsid w:val="00E10C14"/>
    <w:rsid w:val="00E158EE"/>
    <w:rsid w:val="00E206D6"/>
    <w:rsid w:val="00E21C47"/>
    <w:rsid w:val="00E3366E"/>
    <w:rsid w:val="00E51C4B"/>
    <w:rsid w:val="00E52086"/>
    <w:rsid w:val="00E543A6"/>
    <w:rsid w:val="00E60479"/>
    <w:rsid w:val="00E61D73"/>
    <w:rsid w:val="00E73684"/>
    <w:rsid w:val="00E818D6"/>
    <w:rsid w:val="00E87F7A"/>
    <w:rsid w:val="00E93CC5"/>
    <w:rsid w:val="00E9602F"/>
    <w:rsid w:val="00E96BD7"/>
    <w:rsid w:val="00EA0DB1"/>
    <w:rsid w:val="00EA0EE9"/>
    <w:rsid w:val="00EA17BB"/>
    <w:rsid w:val="00ED52CA"/>
    <w:rsid w:val="00ED5860"/>
    <w:rsid w:val="00EE03AD"/>
    <w:rsid w:val="00EE35C9"/>
    <w:rsid w:val="00F05B3B"/>
    <w:rsid w:val="00F05ECA"/>
    <w:rsid w:val="00F10D1E"/>
    <w:rsid w:val="00F1264D"/>
    <w:rsid w:val="00F12F92"/>
    <w:rsid w:val="00F217CC"/>
    <w:rsid w:val="00F218D8"/>
    <w:rsid w:val="00F3566E"/>
    <w:rsid w:val="00F375FB"/>
    <w:rsid w:val="00F40292"/>
    <w:rsid w:val="00F41AC1"/>
    <w:rsid w:val="00F4367A"/>
    <w:rsid w:val="00F445B1"/>
    <w:rsid w:val="00F45CD4"/>
    <w:rsid w:val="00F52337"/>
    <w:rsid w:val="00F5719C"/>
    <w:rsid w:val="00F66909"/>
    <w:rsid w:val="00F66DCA"/>
    <w:rsid w:val="00F74F53"/>
    <w:rsid w:val="00F7606D"/>
    <w:rsid w:val="00F81670"/>
    <w:rsid w:val="00F82024"/>
    <w:rsid w:val="00F83424"/>
    <w:rsid w:val="00F851B1"/>
    <w:rsid w:val="00F95BC9"/>
    <w:rsid w:val="00FA624C"/>
    <w:rsid w:val="00FD0FAC"/>
    <w:rsid w:val="00FD1DFA"/>
    <w:rsid w:val="00FD4966"/>
    <w:rsid w:val="00FE3F8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817A-E61D-4688-B2F5-83E010A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AAAB88CB</Template>
  <TotalTime>62</TotalTime>
  <Pages>5</Pages>
  <Words>1285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ocollins</dc:creator>
  <cp:lastModifiedBy>sclaridge</cp:lastModifiedBy>
  <cp:revision>8</cp:revision>
  <cp:lastPrinted>2015-07-03T13:50:00Z</cp:lastPrinted>
  <dcterms:created xsi:type="dcterms:W3CDTF">2017-05-22T13:05:00Z</dcterms:created>
  <dcterms:modified xsi:type="dcterms:W3CDTF">2017-06-08T16:02:00Z</dcterms:modified>
</cp:coreProperties>
</file>

<file path=docProps/custom.xml><?xml version="1.0" encoding="utf-8"?>
<op:Properties xmlns:op="http://schemas.openxmlformats.org/officeDocument/2006/custom-properties"/>
</file>